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华文仿宋" w:hAnsi="华文仿宋" w:eastAsia="华文仿宋" w:cs="仿宋"/>
          <w:sz w:val="56"/>
          <w:szCs w:val="28"/>
          <w:highlight w:val="none"/>
          <w:lang w:val="en-US" w:eastAsia="zh-CN"/>
        </w:rPr>
      </w:pPr>
      <w:r>
        <w:rPr>
          <w:rFonts w:hint="eastAsia" w:ascii="华文仿宋" w:hAnsi="华文仿宋" w:eastAsia="华文仿宋" w:cs="仿宋"/>
          <w:sz w:val="56"/>
          <w:szCs w:val="28"/>
          <w:highlight w:val="none"/>
          <w:lang w:val="en-US" w:eastAsia="zh-CN"/>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0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天河区农村集体资产</w:t>
      </w:r>
    </w:p>
    <w:p>
      <w:pPr>
        <w:snapToGrid w:val="0"/>
        <w:spacing w:line="300" w:lineRule="auto"/>
        <w:jc w:val="center"/>
        <w:rPr>
          <w:rFonts w:hint="eastAsia" w:ascii="仿宋" w:hAnsi="仿宋" w:eastAsia="仿宋" w:cs="仿宋"/>
          <w:b/>
          <w:bCs/>
          <w:color w:val="auto"/>
          <w:sz w:val="84"/>
          <w:szCs w:val="84"/>
          <w:highlight w:val="none"/>
        </w:rPr>
      </w:pPr>
      <w:r>
        <w:rPr>
          <w:rFonts w:hint="eastAsia" w:ascii="宋体" w:hAnsi="宋体" w:eastAsia="宋体" w:cs="宋体"/>
          <w:b/>
          <w:bCs/>
          <w:color w:val="auto"/>
          <w:sz w:val="84"/>
          <w:szCs w:val="84"/>
          <w:highlight w:val="none"/>
        </w:rPr>
        <w:t>出租交易文件</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4"/>
          <w:highlight w:val="none"/>
        </w:rPr>
      </w:pPr>
    </w:p>
    <w:p>
      <w:pPr>
        <w:pStyle w:val="20"/>
        <w:spacing w:after="0" w:line="360" w:lineRule="auto"/>
        <w:ind w:firstLine="1285" w:firstLineChars="400"/>
        <w:rPr>
          <w:rFonts w:hint="eastAsia" w:ascii="仿宋" w:hAnsi="仿宋" w:eastAsia="宋体" w:cs="仿宋"/>
          <w:b/>
          <w:color w:val="auto"/>
          <w:sz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Cs/>
          <w:color w:val="auto"/>
          <w:sz w:val="32"/>
          <w:highlight w:val="none"/>
          <w:u w:val="single"/>
        </w:rPr>
        <w:t>沙东经济联社交﹝20</w:t>
      </w:r>
      <w:r>
        <w:rPr>
          <w:rFonts w:hint="eastAsia" w:ascii="宋体" w:hAnsi="宋体" w:eastAsia="宋体" w:cs="宋体"/>
          <w:bCs/>
          <w:color w:val="auto"/>
          <w:sz w:val="32"/>
          <w:highlight w:val="none"/>
          <w:u w:val="single"/>
          <w:lang w:val="en-US" w:eastAsia="zh-CN"/>
        </w:rPr>
        <w:t>2</w:t>
      </w:r>
      <w:r>
        <w:rPr>
          <w:rFonts w:hint="eastAsia" w:ascii="宋体" w:hAnsi="宋体" w:cs="宋体"/>
          <w:bCs/>
          <w:color w:val="auto"/>
          <w:sz w:val="32"/>
          <w:highlight w:val="none"/>
          <w:u w:val="single"/>
          <w:lang w:val="en-US" w:eastAsia="zh-CN"/>
        </w:rPr>
        <w:t>3</w:t>
      </w:r>
      <w:r>
        <w:rPr>
          <w:rFonts w:hint="eastAsia" w:ascii="宋体" w:hAnsi="宋体" w:eastAsia="宋体" w:cs="宋体"/>
          <w:bCs/>
          <w:color w:val="auto"/>
          <w:sz w:val="32"/>
          <w:highlight w:val="none"/>
          <w:u w:val="single"/>
        </w:rPr>
        <w:t>﹞0564号</w:t>
      </w:r>
    </w:p>
    <w:p>
      <w:pPr>
        <w:pStyle w:val="20"/>
        <w:spacing w:after="0" w:line="360" w:lineRule="auto"/>
        <w:ind w:left="2883" w:leftChars="608" w:hanging="1606" w:hangingChars="500"/>
        <w:jc w:val="both"/>
        <w:rPr>
          <w:rFonts w:hint="default" w:ascii="仿宋" w:hAnsi="仿宋" w:eastAsia="仿宋" w:cs="仿宋"/>
          <w:b/>
          <w:color w:val="auto"/>
          <w:sz w:val="32"/>
          <w:highlight w:val="none"/>
          <w:u w:val="single"/>
          <w:lang w:val="en-US"/>
        </w:rPr>
      </w:pPr>
      <w:r>
        <w:rPr>
          <w:rFonts w:hint="eastAsia" w:ascii="宋体" w:hAnsi="宋体" w:eastAsia="宋体" w:cs="宋体"/>
          <w:b/>
          <w:color w:val="auto"/>
          <w:sz w:val="32"/>
          <w:szCs w:val="32"/>
          <w:highlight w:val="none"/>
        </w:rPr>
        <w:t>项目名称：</w:t>
      </w:r>
      <w:r>
        <w:rPr>
          <w:rFonts w:hint="eastAsia" w:ascii="宋体" w:hAnsi="宋体" w:cs="宋体"/>
          <w:bCs/>
          <w:color w:val="auto"/>
          <w:sz w:val="32"/>
          <w:highlight w:val="none"/>
          <w:u w:val="single"/>
          <w:lang w:val="en-US" w:eastAsia="zh-CN"/>
        </w:rPr>
        <w:t>沙东有利国际服装批发城#A014出租</w:t>
      </w: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85" w:firstLineChars="400"/>
        <w:rPr>
          <w:rFonts w:hint="eastAsia" w:ascii="仿宋" w:hAnsi="仿宋" w:eastAsia="仿宋" w:cs="仿宋"/>
          <w:b/>
          <w:color w:val="auto"/>
          <w:sz w:val="32"/>
          <w:highlight w:val="none"/>
          <w:u w:val="single"/>
        </w:rPr>
      </w:pPr>
      <w:r>
        <w:rPr>
          <w:rFonts w:hint="eastAsia" w:ascii="宋体" w:hAnsi="宋体" w:eastAsia="宋体" w:cs="宋体"/>
          <w:b/>
          <w:color w:val="auto"/>
          <w:sz w:val="32"/>
          <w:szCs w:val="32"/>
          <w:highlight w:val="none"/>
        </w:rPr>
        <w:t>编制单位：</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rPr>
        <w:t xml:space="preserve"> 广州市沙东有利</w:t>
      </w:r>
      <w:r>
        <w:rPr>
          <w:rFonts w:hint="eastAsia" w:ascii="宋体" w:hAnsi="宋体" w:cs="宋体"/>
          <w:bCs/>
          <w:color w:val="auto"/>
          <w:sz w:val="32"/>
          <w:highlight w:val="none"/>
          <w:u w:val="single"/>
          <w:lang w:val="en-US" w:eastAsia="zh-CN"/>
        </w:rPr>
        <w:t>国际服装批发城</w:t>
      </w:r>
      <w:r>
        <w:rPr>
          <w:rFonts w:hint="eastAsia" w:ascii="宋体" w:hAnsi="宋体" w:eastAsia="宋体" w:cs="宋体"/>
          <w:bCs/>
          <w:color w:val="auto"/>
          <w:sz w:val="32"/>
          <w:highlight w:val="none"/>
          <w:u w:val="single"/>
        </w:rPr>
        <w:t>有限公司</w:t>
      </w:r>
      <w:r>
        <w:rPr>
          <w:rFonts w:hint="eastAsia" w:ascii="仿宋" w:hAnsi="仿宋" w:eastAsia="仿宋" w:cs="仿宋"/>
          <w:bCs/>
          <w:color w:val="auto"/>
          <w:sz w:val="32"/>
          <w:highlight w:val="none"/>
          <w:u w:val="single"/>
        </w:rPr>
        <w:t xml:space="preserve">   </w:t>
      </w:r>
    </w:p>
    <w:p>
      <w:pPr>
        <w:pStyle w:val="20"/>
        <w:spacing w:after="0" w:line="360" w:lineRule="auto"/>
        <w:ind w:firstLine="1285" w:firstLineChars="400"/>
        <w:rPr>
          <w:rFonts w:hint="eastAsia" w:ascii="仿宋" w:hAnsi="仿宋" w:eastAsia="仿宋" w:cs="仿宋"/>
          <w:b/>
          <w:color w:val="auto"/>
          <w:sz w:val="32"/>
          <w:highlight w:val="none"/>
        </w:rPr>
      </w:pPr>
      <w:r>
        <w:rPr>
          <w:rFonts w:hint="eastAsia" w:ascii="宋体" w:hAnsi="宋体" w:eastAsia="宋体" w:cs="宋体"/>
          <w:b/>
          <w:color w:val="auto"/>
          <w:sz w:val="32"/>
          <w:szCs w:val="32"/>
          <w:highlight w:val="none"/>
        </w:rPr>
        <w:t>编制日期：</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lang w:val="en-US" w:eastAsia="zh-CN"/>
        </w:rPr>
        <w:t>202</w:t>
      </w:r>
      <w:r>
        <w:rPr>
          <w:rFonts w:hint="eastAsia" w:ascii="宋体" w:hAnsi="宋体" w:cs="宋体"/>
          <w:bCs/>
          <w:color w:val="auto"/>
          <w:sz w:val="32"/>
          <w:highlight w:val="none"/>
          <w:u w:val="single"/>
          <w:lang w:val="en-US" w:eastAsia="zh-CN"/>
        </w:rPr>
        <w:t xml:space="preserve">3 </w:t>
      </w:r>
      <w:r>
        <w:rPr>
          <w:rFonts w:hint="eastAsia" w:ascii="宋体" w:hAnsi="宋体" w:eastAsia="宋体" w:cs="宋体"/>
          <w:b/>
          <w:color w:val="auto"/>
          <w:sz w:val="32"/>
          <w:highlight w:val="none"/>
        </w:rPr>
        <w:t>年</w:t>
      </w:r>
      <w:r>
        <w:rPr>
          <w:rFonts w:hint="eastAsia" w:ascii="宋体" w:hAnsi="宋体" w:eastAsia="宋体" w:cs="宋体"/>
          <w:bCs/>
          <w:color w:val="auto"/>
          <w:sz w:val="32"/>
          <w:highlight w:val="none"/>
          <w:u w:val="single"/>
        </w:rPr>
        <w:t xml:space="preserve"> </w:t>
      </w:r>
      <w:r>
        <w:rPr>
          <w:rFonts w:hint="eastAsia" w:ascii="宋体" w:hAnsi="宋体" w:cs="宋体"/>
          <w:bCs/>
          <w:color w:val="auto"/>
          <w:sz w:val="32"/>
          <w:highlight w:val="none"/>
          <w:u w:val="single"/>
          <w:lang w:val="en-US" w:eastAsia="zh-CN"/>
        </w:rPr>
        <w:t xml:space="preserve">11 </w:t>
      </w:r>
      <w:r>
        <w:rPr>
          <w:rFonts w:hint="eastAsia" w:ascii="宋体" w:hAnsi="宋体" w:eastAsia="宋体" w:cs="宋体"/>
          <w:b/>
          <w:color w:val="auto"/>
          <w:sz w:val="32"/>
          <w:highlight w:val="none"/>
        </w:rPr>
        <w:t>月</w:t>
      </w:r>
      <w:r>
        <w:rPr>
          <w:rFonts w:hint="eastAsia" w:ascii="宋体" w:hAnsi="宋体" w:cs="宋体"/>
          <w:b/>
          <w:color w:val="auto"/>
          <w:sz w:val="32"/>
          <w:highlight w:val="none"/>
          <w:u w:val="single"/>
          <w:lang w:val="en-US" w:eastAsia="zh-CN"/>
        </w:rPr>
        <w:t xml:space="preserve"> </w:t>
      </w:r>
      <w:r>
        <w:rPr>
          <w:rFonts w:hint="eastAsia" w:ascii="宋体" w:hAnsi="宋体" w:cs="宋体"/>
          <w:bCs/>
          <w:color w:val="auto"/>
          <w:sz w:val="32"/>
          <w:highlight w:val="none"/>
          <w:u w:val="single"/>
          <w:lang w:val="en-US" w:eastAsia="zh-CN"/>
        </w:rPr>
        <w:t xml:space="preserve">7 </w:t>
      </w:r>
      <w:r>
        <w:rPr>
          <w:rFonts w:hint="eastAsia" w:ascii="宋体" w:hAnsi="宋体" w:eastAsia="宋体" w:cs="宋体"/>
          <w:b/>
          <w:color w:val="auto"/>
          <w:sz w:val="32"/>
          <w:highlight w:val="none"/>
        </w:rPr>
        <w:t>日</w:t>
      </w: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rPr>
          <w:rFonts w:hint="eastAsia" w:ascii="仿宋" w:hAnsi="仿宋" w:eastAsia="仿宋" w:cs="仿宋"/>
          <w:b/>
          <w:color w:val="auto"/>
          <w:sz w:val="30"/>
          <w:szCs w:val="30"/>
          <w:highlight w:val="none"/>
        </w:rPr>
      </w:pPr>
    </w:p>
    <w:p>
      <w:pPr>
        <w:snapToGrid w:val="0"/>
        <w:spacing w:line="360" w:lineRule="auto"/>
        <w:jc w:val="center"/>
        <w:rPr>
          <w:rFonts w:hint="eastAsia" w:ascii="仿宋" w:hAnsi="仿宋" w:eastAsia="仿宋" w:cs="仿宋"/>
          <w:b w:val="0"/>
          <w:bCs/>
          <w:color w:val="auto"/>
          <w:sz w:val="32"/>
          <w:highlight w:val="none"/>
        </w:rPr>
      </w:pPr>
      <w:r>
        <w:rPr>
          <w:rFonts w:hint="eastAsia" w:ascii="宋体" w:hAnsi="宋体" w:eastAsia="宋体" w:cs="宋体"/>
          <w:b/>
          <w:color w:val="auto"/>
          <w:sz w:val="32"/>
          <w:highlight w:val="none"/>
        </w:rPr>
        <w:t>交易服务机构：</w:t>
      </w:r>
      <w:r>
        <w:rPr>
          <w:rFonts w:hint="eastAsia" w:ascii="宋体" w:hAnsi="宋体" w:eastAsia="宋体" w:cs="宋体"/>
          <w:b w:val="0"/>
          <w:bCs/>
          <w:color w:val="auto"/>
          <w:sz w:val="32"/>
          <w:highlight w:val="none"/>
        </w:rPr>
        <w:t>广州市天河区农村集体资产交易中心</w:t>
      </w:r>
    </w:p>
    <w:p>
      <w:pPr>
        <w:pStyle w:val="101"/>
        <w:spacing w:beforeLines="0" w:afterLines="0" w:line="400" w:lineRule="exact"/>
        <w:ind w:left="0" w:leftChars="0" w:right="0" w:rightChars="0"/>
        <w:rPr>
          <w:rFonts w:hint="eastAsia" w:ascii="仿宋" w:hAnsi="仿宋" w:eastAsia="仿宋" w:cs="仿宋"/>
          <w:bCs/>
          <w:snapToGrid/>
          <w:color w:val="auto"/>
          <w:spacing w:val="0"/>
          <w:kern w:val="2"/>
          <w:sz w:val="32"/>
          <w:highlight w:val="none"/>
        </w:rPr>
        <w:sectPr>
          <w:footerReference r:id="rId6" w:type="first"/>
          <w:headerReference r:id="rId3" w:type="default"/>
          <w:footerReference r:id="rId4" w:type="default"/>
          <w:footerReference r:id="rId5" w:type="even"/>
          <w:type w:val="continuous"/>
          <w:pgSz w:w="11906" w:h="16838"/>
          <w:pgMar w:top="1191" w:right="1304" w:bottom="1191" w:left="1304" w:header="851" w:footer="907" w:gutter="0"/>
          <w:pgNumType w:fmt="decimal" w:start="1"/>
          <w:cols w:space="720" w:num="1"/>
          <w:titlePg/>
          <w:docGrid w:linePitch="312" w:charSpace="0"/>
        </w:sectPr>
      </w:pPr>
    </w:p>
    <w:p>
      <w:pPr>
        <w:pStyle w:val="101"/>
        <w:spacing w:beforeLines="0" w:afterLines="0" w:line="400" w:lineRule="exact"/>
        <w:ind w:left="0" w:leftChars="0" w:right="0" w:rightChars="0"/>
        <w:jc w:val="center"/>
        <w:rPr>
          <w:rFonts w:hint="eastAsia" w:ascii="宋体" w:hAnsi="宋体" w:eastAsia="宋体" w:cs="宋体"/>
          <w:color w:val="auto"/>
          <w:sz w:val="32"/>
          <w:szCs w:val="32"/>
          <w:highlight w:val="none"/>
        </w:rPr>
      </w:pPr>
      <w:r>
        <w:rPr>
          <w:rFonts w:hint="eastAsia" w:ascii="宋体" w:hAnsi="宋体" w:eastAsia="宋体" w:cs="宋体"/>
          <w:bCs/>
          <w:snapToGrid/>
          <w:color w:val="auto"/>
          <w:spacing w:val="0"/>
          <w:kern w:val="2"/>
          <w:sz w:val="32"/>
          <w:szCs w:val="32"/>
          <w:highlight w:val="none"/>
        </w:rPr>
        <w:t>第一部分  竞投邀请函</w:t>
      </w:r>
    </w:p>
    <w:p>
      <w:pPr>
        <w:spacing w:before="20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各（潜在）竞投人:</w:t>
      </w:r>
    </w:p>
    <w:p>
      <w:pPr>
        <w:overflowPunct w:val="0"/>
        <w:autoSpaceDE w:val="0"/>
        <w:spacing w:line="40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广州市天河区农村集体资产交易中心受</w:t>
      </w:r>
      <w:r>
        <w:rPr>
          <w:rFonts w:hint="eastAsia" w:ascii="仿宋" w:hAnsi="仿宋" w:eastAsia="仿宋" w:cs="仿宋"/>
          <w:color w:val="auto"/>
          <w:sz w:val="24"/>
          <w:szCs w:val="24"/>
          <w:highlight w:val="none"/>
          <w:u w:val="single"/>
        </w:rPr>
        <w:t>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有限公司</w:t>
      </w:r>
      <w:r>
        <w:rPr>
          <w:rFonts w:hint="eastAsia" w:ascii="仿宋" w:hAnsi="仿宋" w:eastAsia="仿宋" w:cs="仿宋"/>
          <w:color w:val="auto"/>
          <w:sz w:val="24"/>
          <w:szCs w:val="24"/>
          <w:highlight w:val="none"/>
        </w:rPr>
        <w:t>的委托，定于</w:t>
      </w:r>
      <w:r>
        <w:rPr>
          <w:rFonts w:hint="eastAsia" w:ascii="仿宋" w:hAnsi="仿宋" w:eastAsia="仿宋" w:cs="仿宋"/>
          <w:color w:val="auto"/>
          <w:sz w:val="24"/>
          <w:szCs w:val="24"/>
          <w:highlight w:val="none"/>
          <w:u w:val="single"/>
          <w:lang w:val="en-US" w:eastAsia="zh-CN"/>
        </w:rPr>
        <w:t>2024年1月10日10：00</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lang w:val="en-US" w:eastAsia="zh-CN"/>
        </w:rPr>
        <w:t>沙东有利国际服装批发城#A014物业</w:t>
      </w:r>
      <w:r>
        <w:rPr>
          <w:rFonts w:hint="eastAsia" w:ascii="仿宋" w:hAnsi="仿宋" w:eastAsia="仿宋" w:cs="仿宋"/>
          <w:color w:val="auto"/>
          <w:sz w:val="24"/>
          <w:szCs w:val="24"/>
          <w:highlight w:val="none"/>
          <w:u w:val="single"/>
        </w:rPr>
        <w:t>出租</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﹞0564号</w:t>
      </w:r>
      <w:r>
        <w:rPr>
          <w:rFonts w:hint="eastAsia" w:ascii="仿宋" w:hAnsi="仿宋" w:eastAsia="仿宋" w:cs="仿宋"/>
          <w:color w:val="auto"/>
          <w:sz w:val="24"/>
          <w:szCs w:val="24"/>
          <w:highlight w:val="none"/>
        </w:rPr>
        <w:t>）进行网上竞投，公示期为</w:t>
      </w:r>
      <w:r>
        <w:rPr>
          <w:rFonts w:hint="eastAsia" w:ascii="仿宋" w:hAnsi="仿宋" w:eastAsia="仿宋" w:cs="仿宋"/>
          <w:color w:val="auto"/>
          <w:sz w:val="24"/>
          <w:szCs w:val="24"/>
          <w:highlight w:val="none"/>
          <w:u w:val="single"/>
          <w:lang w:val="en-US" w:eastAsia="zh-CN"/>
        </w:rPr>
        <w:t xml:space="preserve">2023年12月  27日 </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r>
        <w:rPr>
          <w:rFonts w:hint="eastAsia" w:ascii="仿宋" w:hAnsi="仿宋" w:eastAsia="仿宋" w:cs="仿宋"/>
          <w:snapToGrid w:val="0"/>
          <w:color w:val="auto"/>
          <w:spacing w:val="8"/>
          <w:kern w:val="0"/>
          <w:sz w:val="24"/>
          <w:szCs w:val="24"/>
          <w:highlight w:val="none"/>
        </w:rPr>
        <w:t>，</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的意向人参与竞投。</w:t>
      </w:r>
    </w:p>
    <w:p>
      <w:pPr>
        <w:autoSpaceDE w:val="0"/>
        <w:autoSpaceDN w:val="0"/>
        <w:spacing w:after="10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一、项目内容：</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268"/>
        <w:gridCol w:w="1125"/>
        <w:gridCol w:w="127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4268" w:type="dxa"/>
            <w:noWrap w:val="0"/>
            <w:vAlign w:val="center"/>
          </w:tcPr>
          <w:p>
            <w:pPr>
              <w:spacing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eastAsia="zh-CN"/>
              </w:rPr>
              <w:t>名称</w:t>
            </w:r>
          </w:p>
          <w:p>
            <w:pPr>
              <w:spacing w:line="400" w:lineRule="exact"/>
              <w:jc w:val="center"/>
              <w:rPr>
                <w:rFonts w:hint="eastAsia" w:ascii="仿宋" w:hAnsi="仿宋" w:eastAsia="仿宋" w:cs="仿宋"/>
                <w:color w:val="auto"/>
                <w:sz w:val="24"/>
                <w:szCs w:val="24"/>
                <w:highlight w:val="none"/>
              </w:rPr>
            </w:pPr>
          </w:p>
        </w:tc>
        <w:tc>
          <w:tcPr>
            <w:tcW w:w="1125" w:type="dxa"/>
            <w:noWrap w:val="0"/>
            <w:vAlign w:val="center"/>
          </w:tcPr>
          <w:p>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期限</w:t>
            </w:r>
          </w:p>
        </w:tc>
        <w:tc>
          <w:tcPr>
            <w:tcW w:w="1270"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交易面积</w:t>
            </w:r>
          </w:p>
        </w:tc>
        <w:tc>
          <w:tcPr>
            <w:tcW w:w="1738"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68"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沙东有利国际服装批发城#A014</w:t>
            </w:r>
            <w:r>
              <w:rPr>
                <w:rFonts w:hint="eastAsia" w:ascii="仿宋" w:hAnsi="仿宋" w:eastAsia="仿宋" w:cs="仿宋"/>
                <w:color w:val="auto"/>
                <w:sz w:val="22"/>
                <w:szCs w:val="22"/>
                <w:highlight w:val="none"/>
              </w:rPr>
              <w:t>物业出租</w:t>
            </w:r>
          </w:p>
        </w:tc>
        <w:tc>
          <w:tcPr>
            <w:tcW w:w="1125" w:type="dxa"/>
            <w:noWrap w:val="0"/>
            <w:vAlign w:val="center"/>
          </w:tcPr>
          <w:p>
            <w:pPr>
              <w:pStyle w:val="124"/>
              <w:spacing w:before="0" w:after="0" w:line="400" w:lineRule="exact"/>
              <w:rPr>
                <w:rFonts w:hint="eastAsia" w:ascii="仿宋" w:hAnsi="仿宋" w:eastAsia="仿宋" w:cs="仿宋"/>
                <w:color w:val="auto"/>
                <w:sz w:val="22"/>
                <w:szCs w:val="22"/>
                <w:highlight w:val="none"/>
              </w:rPr>
            </w:pPr>
            <w:r>
              <w:rPr>
                <w:rFonts w:hint="eastAsia" w:ascii="仿宋" w:hAnsi="仿宋" w:eastAsia="仿宋" w:cs="仿宋"/>
                <w:snapToGrid/>
                <w:color w:val="auto"/>
                <w:spacing w:val="0"/>
                <w:kern w:val="2"/>
                <w:sz w:val="22"/>
                <w:szCs w:val="22"/>
                <w:highlight w:val="none"/>
                <w:lang w:val="en-US" w:eastAsia="zh-CN"/>
              </w:rPr>
              <w:t>3年</w:t>
            </w:r>
          </w:p>
        </w:tc>
        <w:tc>
          <w:tcPr>
            <w:tcW w:w="1270"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7.5㎡</w:t>
            </w:r>
          </w:p>
        </w:tc>
        <w:tc>
          <w:tcPr>
            <w:tcW w:w="1738" w:type="dxa"/>
            <w:noWrap w:val="0"/>
            <w:vAlign w:val="center"/>
          </w:tcPr>
          <w:p>
            <w:pPr>
              <w:overflowPunct w:val="0"/>
              <w:autoSpaceDE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18000元/年</w:t>
            </w:r>
          </w:p>
        </w:tc>
      </w:tr>
    </w:tbl>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bookmarkStart w:id="0" w:name="_Toc263670112"/>
      <w:bookmarkStart w:id="1" w:name="_Toc110315369"/>
      <w:bookmarkStart w:id="2" w:name="_Toc319857805"/>
      <w:bookmarkStart w:id="3" w:name="_Toc391912296"/>
      <w:bookmarkStart w:id="4" w:name="_Toc110314992"/>
      <w:bookmarkStart w:id="5" w:name="_Toc391912319"/>
      <w:bookmarkStart w:id="6" w:name="_Toc322033391"/>
      <w:bookmarkStart w:id="7" w:name="_Toc263670121"/>
      <w:bookmarkStart w:id="8" w:name="_Toc322033398"/>
      <w:bookmarkStart w:id="9" w:name="_Toc322033402"/>
      <w:bookmarkStart w:id="10" w:name="_Toc263437593"/>
      <w:bookmarkStart w:id="11" w:name="_Toc263336367"/>
      <w:bookmarkStart w:id="12" w:name="_Toc13659"/>
      <w:r>
        <w:rPr>
          <w:rFonts w:hint="eastAsia" w:ascii="仿宋" w:hAnsi="仿宋" w:eastAsia="仿宋" w:cs="仿宋"/>
          <w:color w:val="auto"/>
          <w:sz w:val="24"/>
          <w:szCs w:val="24"/>
          <w:highlight w:val="none"/>
        </w:rPr>
        <w:t>竞投自然递增报价：</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100元/年</w:t>
      </w:r>
    </w:p>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每次最高加价金额：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500元/年</w:t>
      </w:r>
    </w:p>
    <w:p>
      <w:pPr>
        <w:autoSpaceDE w:val="0"/>
        <w:autoSpaceDN w:val="0"/>
        <w:spacing w:line="400" w:lineRule="exact"/>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）交易方式：</w:t>
      </w:r>
      <w:r>
        <w:rPr>
          <w:rFonts w:hint="eastAsia" w:ascii="仿宋" w:hAnsi="仿宋" w:eastAsia="仿宋" w:cs="仿宋"/>
          <w:color w:val="auto"/>
          <w:sz w:val="24"/>
          <w:szCs w:val="24"/>
          <w:highlight w:val="none"/>
          <w:u w:val="single"/>
        </w:rPr>
        <w:t>网上竞投</w:t>
      </w:r>
    </w:p>
    <w:p>
      <w:pPr>
        <w:autoSpaceDE w:val="0"/>
        <w:autoSpaceDN w:val="0"/>
        <w:spacing w:line="400" w:lineRule="exact"/>
        <w:ind w:firstLine="240" w:firstLineChars="100"/>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）交易保证金：人民币</w:t>
      </w:r>
      <w:r>
        <w:rPr>
          <w:rFonts w:hint="eastAsia" w:ascii="仿宋" w:hAnsi="仿宋" w:eastAsia="仿宋" w:cs="仿宋"/>
          <w:color w:val="auto"/>
          <w:sz w:val="24"/>
          <w:szCs w:val="24"/>
          <w:highlight w:val="none"/>
          <w:u w:val="single"/>
        </w:rPr>
        <w:t>3000元(大写</w:t>
      </w:r>
      <w:r>
        <w:rPr>
          <w:rFonts w:hint="eastAsia" w:ascii="仿宋" w:hAnsi="仿宋" w:eastAsia="仿宋" w:cs="仿宋"/>
          <w:color w:val="auto"/>
          <w:sz w:val="24"/>
          <w:szCs w:val="24"/>
          <w:highlight w:val="none"/>
          <w:u w:val="single"/>
          <w:lang w:eastAsia="zh-CN"/>
        </w:rPr>
        <w:t>：叁仟</w:t>
      </w:r>
      <w:r>
        <w:rPr>
          <w:rFonts w:hint="eastAsia" w:ascii="仿宋" w:hAnsi="仿宋" w:eastAsia="仿宋" w:cs="仿宋"/>
          <w:color w:val="auto"/>
          <w:sz w:val="24"/>
          <w:szCs w:val="24"/>
          <w:highlight w:val="none"/>
          <w:u w:val="single"/>
          <w:lang w:val="en-US" w:eastAsia="zh-CN"/>
        </w:rPr>
        <w:t>元整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，竞投人请登录广州市天河区农村集体资产管理平台http://szjy.thnet.gov.cn/或</w:t>
      </w:r>
      <w:r>
        <w:rPr>
          <w:rFonts w:hint="eastAsia" w:ascii="仿宋" w:hAnsi="仿宋" w:eastAsia="仿宋" w:cs="仿宋"/>
          <w:color w:val="auto"/>
          <w:sz w:val="24"/>
          <w:szCs w:val="24"/>
          <w:highlight w:val="none"/>
          <w:lang w:eastAsia="zh-CN"/>
        </w:rPr>
        <w:t>关注</w:t>
      </w:r>
      <w:r>
        <w:rPr>
          <w:rFonts w:hint="eastAsia" w:ascii="仿宋" w:hAnsi="仿宋" w:eastAsia="仿宋" w:cs="仿宋"/>
          <w:color w:val="auto"/>
          <w:sz w:val="24"/>
          <w:szCs w:val="24"/>
          <w:highlight w:val="none"/>
        </w:rPr>
        <w:t>“天河农村集体资产交易”微信公众号，点击【网上竞投】模块→选择意向项目报名→获取交易保证金账号，在报名结束前确保交易保证金一次性全额到达指定账户，交纳方式：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color w:val="auto"/>
          <w:sz w:val="24"/>
          <w:szCs w:val="24"/>
          <w:highlight w:val="none"/>
        </w:rPr>
        <w:t>银行转账</w:t>
      </w:r>
      <w:r>
        <w:rPr>
          <w:rFonts w:hint="eastAsia" w:ascii="仿宋" w:hAnsi="仿宋" w:eastAsia="仿宋" w:cs="仿宋"/>
          <w:b w:val="0"/>
          <w:bCs w:val="0"/>
          <w:color w:val="auto"/>
          <w:sz w:val="24"/>
          <w:szCs w:val="24"/>
          <w:highlight w:val="none"/>
          <w:lang w:eastAsia="zh-CN"/>
        </w:rPr>
        <w:t>。</w:t>
      </w:r>
    </w:p>
    <w:p>
      <w:pPr>
        <w:autoSpaceDE w:val="0"/>
        <w:autoSpaceDN w:val="0"/>
        <w:spacing w:line="40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2、一个项目对应一个银行账号；</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）详情请查阅交易文件“第二部分 项目内容”。</w:t>
      </w:r>
    </w:p>
    <w:p>
      <w:pPr>
        <w:autoSpaceDE w:val="0"/>
        <w:autoSpaceDN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二、竞投人资</w:t>
      </w:r>
      <w:r>
        <w:rPr>
          <w:rFonts w:hint="eastAsia" w:ascii="仿宋" w:hAnsi="仿宋" w:eastAsia="仿宋" w:cs="仿宋"/>
          <w:b/>
          <w:color w:val="auto"/>
          <w:sz w:val="24"/>
          <w:szCs w:val="24"/>
          <w:highlight w:val="none"/>
          <w:lang w:val="en-US" w:eastAsia="zh-CN"/>
        </w:rPr>
        <w:t>格</w:t>
      </w:r>
      <w:r>
        <w:rPr>
          <w:rFonts w:hint="eastAsia" w:ascii="仿宋" w:hAnsi="仿宋" w:eastAsia="仿宋" w:cs="仿宋"/>
          <w:b/>
          <w:color w:val="auto"/>
          <w:sz w:val="24"/>
          <w:szCs w:val="24"/>
          <w:highlight w:val="none"/>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竞投人必须是在中华人民共和国境内注册并合法运作的法人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lang w:val="en-US" w:eastAsia="zh-CN"/>
        </w:rPr>
        <w:t>非法人企业，经工商登记注册的个体户或具有完全民事行为能力的自然人</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项目业主单位要求的其他资质条件：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1、竞投人在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前5年内，凡与沙东股份合作经济联社、沙东有利集团公司及其参股、控股公司有诉讼或仲裁</w:t>
      </w:r>
      <w:r>
        <w:rPr>
          <w:rFonts w:hint="eastAsia" w:ascii="仿宋" w:hAnsi="仿宋" w:eastAsia="仿宋" w:cs="仿宋"/>
          <w:b w:val="0"/>
          <w:bCs w:val="0"/>
          <w:color w:val="auto"/>
          <w:sz w:val="24"/>
          <w:szCs w:val="24"/>
          <w:highlight w:val="none"/>
          <w:u w:val="none"/>
          <w:lang w:eastAsia="zh-CN"/>
        </w:rPr>
        <w:t>的（包含执行未完的），</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2、竞投人在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前3年内，凡欠缴沙东股份合作经济联社、沙东有利集团公司及其参股、控股公司物业或土地租金的</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三、报名、竞投网址及时间：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报名、竞投网址：广州市天河区农村集体资产管理平台http://szjy.thnet.gov.cn/</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“天河农村集体资产交易”微信公众号的【网上竞投】模块</w:t>
      </w:r>
      <w:r>
        <w:rPr>
          <w:rFonts w:hint="eastAsia" w:ascii="仿宋" w:hAnsi="仿宋" w:eastAsia="仿宋" w:cs="仿宋"/>
          <w:color w:val="auto"/>
          <w:sz w:val="24"/>
          <w:szCs w:val="24"/>
          <w:highlight w:val="none"/>
          <w:lang w:eastAsia="zh-CN"/>
        </w:rPr>
        <w:t>。</w:t>
      </w:r>
    </w:p>
    <w:p>
      <w:pPr>
        <w:numPr>
          <w:ilvl w:val="0"/>
          <w:numId w:val="0"/>
        </w:numPr>
        <w:spacing w:line="400" w:lineRule="exact"/>
        <w:ind w:left="420" w:left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u w:val="single"/>
          <w:lang w:val="en-US" w:eastAsia="zh-CN"/>
        </w:rPr>
        <w:t>2023年12月28日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p>
    <w:p>
      <w:pPr>
        <w:numPr>
          <w:ilvl w:val="0"/>
          <w:numId w:val="0"/>
        </w:numPr>
        <w:spacing w:line="400" w:lineRule="exact"/>
        <w:ind w:left="420" w:leftChars="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网上竞投开始时间：</w:t>
      </w:r>
      <w:r>
        <w:rPr>
          <w:rFonts w:hint="eastAsia" w:ascii="仿宋" w:hAnsi="仿宋" w:eastAsia="仿宋" w:cs="仿宋"/>
          <w:color w:val="auto"/>
          <w:sz w:val="24"/>
          <w:szCs w:val="24"/>
          <w:highlight w:val="none"/>
          <w:u w:val="single"/>
          <w:lang w:val="en-US" w:eastAsia="zh-CN"/>
        </w:rPr>
        <w:t>2024年1月10日10：00</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四、需提交的相关资料如下：</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法人单位须提供加盖公章的单位营业执照、法定代表人居民身份证复印件及股东名单（原件备查）；</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非法人企业须提供加盖公章的单位营业执照及负责人（投资人）居民身份证复印件（原件备查）；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工商登记注册的个体户须提供加盖公章的有效营业执照复印件及个体户负责人身份证复印件（原件备查）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完全民事行为能力的自然人须提供居民身份证复印件（原件备查）</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、注意事项：</w:t>
      </w:r>
    </w:p>
    <w:p>
      <w:pPr>
        <w:keepNext w:val="0"/>
        <w:keepLines w:val="0"/>
        <w:pageBreakBefore w:val="0"/>
        <w:widowControl w:val="0"/>
        <w:kinsoku/>
        <w:wordWrap/>
        <w:overflowPunct/>
        <w:topLinePunct w:val="0"/>
        <w:autoSpaceDE/>
        <w:autoSpaceDN/>
        <w:bidi w:val="0"/>
        <w:adjustRightInd/>
        <w:snapToGrid/>
        <w:spacing w:line="400" w:lineRule="exact"/>
        <w:ind w:left="69" w:leftChars="33"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（一）本次交易公告等相关信息在</w:t>
      </w:r>
      <w:r>
        <w:rPr>
          <w:rFonts w:hint="eastAsia" w:ascii="仿宋" w:hAnsi="仿宋" w:eastAsia="仿宋" w:cs="仿宋"/>
          <w:color w:val="auto"/>
          <w:sz w:val="24"/>
          <w:szCs w:val="24"/>
          <w:highlight w:val="none"/>
          <w:lang w:eastAsia="zh-CN"/>
        </w:rPr>
        <w:t>广州市天河区农村集体资产管理平台、天河区信息网等信息平台</w:t>
      </w:r>
      <w:r>
        <w:rPr>
          <w:rFonts w:hint="eastAsia" w:ascii="仿宋" w:hAnsi="仿宋" w:eastAsia="仿宋" w:cs="仿宋"/>
          <w:color w:val="auto"/>
          <w:sz w:val="24"/>
          <w:szCs w:val="24"/>
          <w:highlight w:val="none"/>
        </w:rPr>
        <w:t>上公布，并视为有效送达，不再另行通知。</w:t>
      </w:r>
    </w:p>
    <w:p>
      <w:pPr>
        <w:spacing w:line="400" w:lineRule="exact"/>
        <w:ind w:right="26"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（二）本次交易不举行集中答疑会，如有关于交易流程的疑问请以书面、传真或电邮形式至</w:t>
      </w:r>
      <w:r>
        <w:rPr>
          <w:rFonts w:hint="eastAsia" w:ascii="仿宋" w:hAnsi="仿宋" w:eastAsia="仿宋" w:cs="仿宋"/>
          <w:bCs/>
          <w:color w:val="auto"/>
          <w:sz w:val="24"/>
          <w:szCs w:val="24"/>
          <w:highlight w:val="none"/>
        </w:rPr>
        <w:t>广州市天河区农村集体资产交易中心</w:t>
      </w:r>
      <w:r>
        <w:rPr>
          <w:rFonts w:hint="eastAsia" w:ascii="仿宋" w:hAnsi="仿宋" w:eastAsia="仿宋" w:cs="仿宋"/>
          <w:color w:val="auto"/>
          <w:sz w:val="24"/>
          <w:szCs w:val="24"/>
          <w:highlight w:val="none"/>
        </w:rPr>
        <w:t>释疑。</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（三）本次交易不组织实地勘察，标的以实物为准，</w:t>
      </w:r>
      <w:r>
        <w:rPr>
          <w:rFonts w:hint="eastAsia" w:ascii="仿宋" w:hAnsi="仿宋" w:eastAsia="仿宋" w:cs="仿宋"/>
          <w:color w:val="auto"/>
          <w:sz w:val="24"/>
          <w:szCs w:val="24"/>
          <w:highlight w:val="none"/>
          <w:lang w:eastAsia="zh-CN"/>
        </w:rPr>
        <w:t>本交易文件提供的本项目的说明及资料仅供竞投人参考，不构成对项目的任何担保，</w:t>
      </w:r>
      <w:r>
        <w:rPr>
          <w:rFonts w:hint="eastAsia" w:ascii="仿宋" w:hAnsi="仿宋" w:eastAsia="仿宋" w:cs="仿宋"/>
          <w:color w:val="auto"/>
          <w:sz w:val="24"/>
          <w:szCs w:val="24"/>
          <w:highlight w:val="none"/>
        </w:rPr>
        <w:t>竞投</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在报名前须认真研究、实地查看，并向业主方了解项目的实际情况，独立做出竞投判断，一经报名，视为竞投人已完全了解竞投标的全部内容，并认可竞投标的现状，同时愿承担参加竞投所产生的一切风险及责任，交易双方若产生任何纠纷及损失，天河区农村集体资产交易中心不承担任何责任。</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（四）区交易中心不对交易的农村集体资产的质量瑕疵、权属合法性瑕疵及合同违约等风险承担法律责任。</w:t>
      </w:r>
    </w:p>
    <w:p>
      <w:pPr>
        <w:spacing w:line="40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）本次交易只负责决定受让人或合作伙伴，项目交付、产权和股权交割按国家相关法规办理，不属本次交易内容，本交易服务中心不负任何责任。</w:t>
      </w:r>
    </w:p>
    <w:p>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、联系方式：</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（一）编制单位名称：</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编制单位地址：</w:t>
      </w:r>
      <w:r>
        <w:rPr>
          <w:rFonts w:hint="eastAsia" w:ascii="仿宋" w:hAnsi="仿宋" w:eastAsia="仿宋" w:cs="仿宋"/>
          <w:color w:val="auto"/>
          <w:sz w:val="24"/>
          <w:szCs w:val="24"/>
          <w:highlight w:val="none"/>
          <w:u w:val="single"/>
        </w:rPr>
        <w:t xml:space="preserve"> 广州市天河区</w:t>
      </w:r>
      <w:r>
        <w:rPr>
          <w:rFonts w:hint="eastAsia" w:ascii="仿宋" w:hAnsi="仿宋" w:eastAsia="仿宋" w:cs="仿宋"/>
          <w:color w:val="auto"/>
          <w:sz w:val="24"/>
          <w:szCs w:val="24"/>
          <w:highlight w:val="none"/>
          <w:u w:val="single"/>
          <w:lang w:val="en-US" w:eastAsia="zh-CN"/>
        </w:rPr>
        <w:t>濂泉路21号</w:t>
      </w:r>
      <w:r>
        <w:rPr>
          <w:rFonts w:hint="eastAsia" w:ascii="仿宋" w:hAnsi="仿宋" w:eastAsia="仿宋" w:cs="仿宋"/>
          <w:color w:val="auto"/>
          <w:sz w:val="24"/>
          <w:szCs w:val="24"/>
          <w:highlight w:val="none"/>
          <w:u w:val="single"/>
        </w:rPr>
        <w:t xml:space="preserve">   </w:t>
      </w:r>
    </w:p>
    <w:p>
      <w:pPr>
        <w:tabs>
          <w:tab w:val="left" w:pos="9356"/>
        </w:tabs>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编制单位联系人：</w:t>
      </w:r>
      <w:r>
        <w:rPr>
          <w:rFonts w:hint="eastAsia" w:ascii="仿宋" w:hAnsi="仿宋" w:eastAsia="仿宋" w:cs="仿宋"/>
          <w:sz w:val="24"/>
          <w:szCs w:val="24"/>
          <w:highlight w:val="none"/>
          <w:u w:val="single"/>
          <w:lang w:val="en-US" w:eastAsia="zh-CN"/>
        </w:rPr>
        <w:t>江铠忻</w:t>
      </w:r>
      <w:r>
        <w:rPr>
          <w:rFonts w:hint="eastAsia" w:ascii="仿宋" w:hAnsi="仿宋" w:eastAsia="仿宋" w:cs="仿宋"/>
          <w:color w:val="auto"/>
          <w:sz w:val="24"/>
          <w:szCs w:val="24"/>
          <w:highlight w:val="none"/>
          <w:u w:val="single"/>
        </w:rPr>
        <w:t xml:space="preserve">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编制单位联系电话：</w:t>
      </w:r>
      <w:r>
        <w:rPr>
          <w:rFonts w:hint="eastAsia" w:ascii="仿宋" w:hAnsi="仿宋" w:eastAsia="仿宋" w:cs="仿宋"/>
          <w:color w:val="auto"/>
          <w:sz w:val="24"/>
          <w:szCs w:val="24"/>
          <w:highlight w:val="none"/>
          <w:u w:val="single"/>
          <w:lang w:val="en-US" w:eastAsia="zh-CN"/>
        </w:rPr>
        <w:t>020-37270389</w:t>
      </w:r>
      <w:r>
        <w:rPr>
          <w:rFonts w:hint="eastAsia" w:ascii="仿宋" w:hAnsi="仿宋" w:eastAsia="仿宋" w:cs="仿宋"/>
          <w:color w:val="auto"/>
          <w:sz w:val="24"/>
          <w:szCs w:val="24"/>
          <w:highlight w:val="none"/>
          <w:u w:val="single"/>
        </w:rPr>
        <w:t xml:space="preserve">    </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（二）交易服务机构名称：</w:t>
      </w:r>
      <w:r>
        <w:rPr>
          <w:rFonts w:hint="eastAsia" w:ascii="仿宋" w:hAnsi="仿宋" w:eastAsia="仿宋" w:cs="仿宋"/>
          <w:color w:val="auto"/>
          <w:sz w:val="24"/>
          <w:szCs w:val="24"/>
          <w:highlight w:val="none"/>
          <w:u w:val="single"/>
        </w:rPr>
        <w:t>广州市天河区农村集体资产交易中心</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交易服务机构地址：</w:t>
      </w:r>
      <w:r>
        <w:rPr>
          <w:rFonts w:hint="eastAsia" w:ascii="仿宋" w:hAnsi="仿宋" w:eastAsia="仿宋" w:cs="仿宋"/>
          <w:color w:val="auto"/>
          <w:sz w:val="24"/>
          <w:szCs w:val="24"/>
          <w:highlight w:val="none"/>
          <w:u w:val="single"/>
        </w:rPr>
        <w:t>天河区政务服务中心6楼（天河区软件路13号）</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交易服务机构联系部门：</w:t>
      </w:r>
      <w:r>
        <w:rPr>
          <w:rFonts w:hint="eastAsia" w:ascii="仿宋" w:hAnsi="仿宋" w:eastAsia="仿宋" w:cs="仿宋"/>
          <w:color w:val="auto"/>
          <w:sz w:val="24"/>
          <w:szCs w:val="24"/>
          <w:highlight w:val="none"/>
          <w:u w:val="single"/>
        </w:rPr>
        <w:t xml:space="preserve">    交易部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交易服务机构联系电话：</w:t>
      </w:r>
      <w:r>
        <w:rPr>
          <w:rFonts w:hint="eastAsia" w:ascii="仿宋" w:hAnsi="仿宋" w:eastAsia="仿宋" w:cs="仿宋"/>
          <w:color w:val="auto"/>
          <w:sz w:val="24"/>
          <w:szCs w:val="24"/>
          <w:highlight w:val="none"/>
          <w:u w:val="single"/>
        </w:rPr>
        <w:t xml:space="preserve"> 020-37690255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资料提交地址：</w:t>
      </w:r>
      <w:r>
        <w:rPr>
          <w:rFonts w:hint="eastAsia" w:ascii="仿宋" w:hAnsi="仿宋" w:eastAsia="仿宋" w:cs="仿宋"/>
          <w:color w:val="auto"/>
          <w:sz w:val="24"/>
          <w:szCs w:val="24"/>
          <w:highlight w:val="none"/>
          <w:u w:val="single"/>
        </w:rPr>
        <w:t>天河区政务服务中心6楼6</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办公室</w:t>
      </w:r>
    </w:p>
    <w:p>
      <w:pPr>
        <w:spacing w:before="100" w:line="400" w:lineRule="exact"/>
        <w:ind w:firstLine="1250" w:firstLineChars="521"/>
        <w:rPr>
          <w:rFonts w:hint="eastAsia" w:ascii="仿宋" w:hAnsi="仿宋" w:eastAsia="仿宋" w:cs="仿宋"/>
          <w:color w:val="auto"/>
          <w:sz w:val="24"/>
          <w:szCs w:val="24"/>
          <w:highlight w:val="none"/>
          <w:u w:val="single"/>
        </w:rPr>
      </w:pPr>
    </w:p>
    <w:p>
      <w:pPr>
        <w:pStyle w:val="99"/>
        <w:keepNext w:val="0"/>
        <w:spacing w:line="400" w:lineRule="exact"/>
        <w:rPr>
          <w:rFonts w:hint="eastAsia" w:ascii="仿宋" w:hAnsi="仿宋" w:eastAsia="仿宋" w:cs="仿宋"/>
          <w:b w:val="0"/>
          <w:bCs w:val="0"/>
          <w:snapToGrid/>
          <w:kern w:val="2"/>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交易服务机构：</w:t>
      </w:r>
      <w:r>
        <w:rPr>
          <w:rFonts w:hint="eastAsia" w:ascii="仿宋" w:hAnsi="仿宋" w:eastAsia="仿宋" w:cs="仿宋"/>
          <w:b w:val="0"/>
          <w:bCs w:val="0"/>
          <w:color w:val="auto"/>
          <w:sz w:val="24"/>
          <w:szCs w:val="24"/>
          <w:highlight w:val="none"/>
          <w:u w:val="single"/>
        </w:rPr>
        <w:t>广州市天河区农村集体资产交易中心</w:t>
      </w:r>
    </w:p>
    <w:p>
      <w:pPr>
        <w:pStyle w:val="99"/>
        <w:keepNext w:val="0"/>
        <w:spacing w:line="400" w:lineRule="exact"/>
        <w:rPr>
          <w:rFonts w:hint="eastAsia" w:ascii="仿宋" w:hAnsi="仿宋" w:eastAsia="仿宋" w:cs="仿宋"/>
          <w:snapToGrid/>
          <w:kern w:val="2"/>
          <w:sz w:val="24"/>
          <w:szCs w:val="24"/>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bookmarkEnd w:id="0"/>
    <w:bookmarkEnd w:id="1"/>
    <w:bookmarkEnd w:id="2"/>
    <w:bookmarkEnd w:id="3"/>
    <w:bookmarkEnd w:id="4"/>
    <w:bookmarkEnd w:id="5"/>
    <w:bookmarkEnd w:id="6"/>
    <w:p>
      <w:pPr>
        <w:pStyle w:val="99"/>
        <w:keepNext w:val="0"/>
        <w:spacing w:line="400" w:lineRule="exact"/>
        <w:jc w:val="both"/>
        <w:rPr>
          <w:rFonts w:hint="eastAsia" w:ascii="仿宋" w:hAnsi="仿宋" w:eastAsia="仿宋" w:cs="仿宋"/>
          <w:snapToGrid/>
          <w:kern w:val="2"/>
          <w:sz w:val="28"/>
          <w:szCs w:val="28"/>
          <w:highlight w:val="none"/>
        </w:rPr>
      </w:pPr>
      <w:bookmarkStart w:id="13" w:name="_Toc391912327"/>
      <w:bookmarkStart w:id="14" w:name="_Toc391912304"/>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rPr>
          <w:rFonts w:hint="eastAsia" w:ascii="宋体" w:hAnsi="宋体" w:eastAsia="宋体" w:cs="宋体"/>
          <w:bCs w:val="0"/>
          <w:spacing w:val="40"/>
          <w:sz w:val="32"/>
          <w:szCs w:val="32"/>
          <w:highlight w:val="none"/>
        </w:rPr>
      </w:pPr>
      <w:r>
        <w:rPr>
          <w:rFonts w:hint="eastAsia" w:ascii="宋体" w:hAnsi="宋体" w:eastAsia="宋体" w:cs="宋体"/>
          <w:snapToGrid/>
          <w:kern w:val="2"/>
          <w:sz w:val="32"/>
          <w:szCs w:val="32"/>
          <w:highlight w:val="none"/>
        </w:rPr>
        <w:t>第二部分  项目内容</w:t>
      </w:r>
    </w:p>
    <w:p>
      <w:pPr>
        <w:adjustRightInd w:val="0"/>
        <w:snapToGrid w:val="0"/>
        <w:spacing w:before="200"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一、项目业主情况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（一）单位名称：</w:t>
      </w:r>
      <w:r>
        <w:rPr>
          <w:rFonts w:hint="eastAsia" w:ascii="仿宋" w:hAnsi="仿宋" w:eastAsia="仿宋" w:cs="仿宋"/>
          <w:sz w:val="24"/>
          <w:szCs w:val="24"/>
          <w:highlight w:val="none"/>
          <w:u w:val="single"/>
        </w:rPr>
        <w:t>广州市沙东有利</w:t>
      </w:r>
      <w:r>
        <w:rPr>
          <w:rFonts w:hint="eastAsia" w:ascii="仿宋" w:hAnsi="仿宋" w:eastAsia="仿宋" w:cs="仿宋"/>
          <w:sz w:val="24"/>
          <w:szCs w:val="24"/>
          <w:highlight w:val="none"/>
          <w:u w:val="single"/>
          <w:lang w:val="en-US" w:eastAsia="zh-CN"/>
        </w:rPr>
        <w:t>国际服装批发城</w:t>
      </w:r>
      <w:r>
        <w:rPr>
          <w:rFonts w:hint="eastAsia" w:ascii="仿宋" w:hAnsi="仿宋" w:eastAsia="仿宋" w:cs="仿宋"/>
          <w:sz w:val="24"/>
          <w:szCs w:val="24"/>
          <w:highlight w:val="none"/>
          <w:u w:val="single"/>
        </w:rPr>
        <w:t>有限公司</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（二）单位地址：</w:t>
      </w:r>
      <w:r>
        <w:rPr>
          <w:rFonts w:hint="eastAsia" w:ascii="仿宋" w:hAnsi="仿宋" w:eastAsia="仿宋" w:cs="仿宋"/>
          <w:sz w:val="24"/>
          <w:szCs w:val="24"/>
          <w:highlight w:val="none"/>
          <w:u w:val="single"/>
        </w:rPr>
        <w:t>广州市天河区</w:t>
      </w:r>
      <w:r>
        <w:rPr>
          <w:rFonts w:hint="eastAsia" w:ascii="仿宋" w:hAnsi="仿宋" w:eastAsia="仿宋" w:cs="仿宋"/>
          <w:sz w:val="24"/>
          <w:szCs w:val="24"/>
          <w:highlight w:val="none"/>
          <w:u w:val="single"/>
          <w:lang w:val="en-US" w:eastAsia="zh-CN"/>
        </w:rPr>
        <w:t>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w:t>
      </w:r>
      <w:r>
        <w:rPr>
          <w:rFonts w:hint="eastAsia" w:ascii="仿宋" w:hAnsi="仿宋" w:eastAsia="仿宋" w:cs="仿宋"/>
          <w:sz w:val="24"/>
          <w:szCs w:val="24"/>
          <w:highlight w:val="none"/>
          <w:u w:val="single"/>
          <w:lang w:eastAsia="zh-CN"/>
        </w:rPr>
        <w:t>张国耀</w:t>
      </w:r>
    </w:p>
    <w:p>
      <w:pPr>
        <w:pStyle w:val="99"/>
        <w:keepNext w:val="0"/>
        <w:spacing w:line="400" w:lineRule="exact"/>
        <w:ind w:firstLine="240" w:firstLineChars="100"/>
        <w:jc w:val="both"/>
        <w:rPr>
          <w:rFonts w:hint="default" w:ascii="仿宋" w:hAnsi="仿宋" w:eastAsia="仿宋" w:cs="仿宋"/>
          <w:b w:val="0"/>
          <w:bCs w:val="0"/>
          <w:spacing w:val="40"/>
          <w:sz w:val="24"/>
          <w:szCs w:val="24"/>
          <w:highlight w:val="none"/>
          <w:lang w:val="en-US"/>
        </w:rPr>
      </w:pPr>
      <w:r>
        <w:rPr>
          <w:rFonts w:hint="eastAsia" w:ascii="仿宋" w:hAnsi="仿宋" w:eastAsia="仿宋" w:cs="仿宋"/>
          <w:b w:val="0"/>
          <w:sz w:val="24"/>
          <w:szCs w:val="24"/>
          <w:highlight w:val="none"/>
        </w:rPr>
        <w:t>（四）联系方式：</w:t>
      </w:r>
      <w:r>
        <w:rPr>
          <w:rFonts w:hint="eastAsia" w:ascii="仿宋" w:hAnsi="仿宋" w:eastAsia="仿宋" w:cs="仿宋"/>
          <w:b w:val="0"/>
          <w:color w:val="auto"/>
          <w:sz w:val="24"/>
          <w:szCs w:val="24"/>
          <w:highlight w:val="none"/>
          <w:u w:val="single"/>
          <w:lang w:val="en-US" w:eastAsia="zh-CN"/>
        </w:rPr>
        <w:t>020-37270389</w:t>
      </w:r>
    </w:p>
    <w:p>
      <w:pPr>
        <w:adjustRightInd w:val="0"/>
        <w:snapToGrid w:val="0"/>
        <w:spacing w:line="400" w:lineRule="exact"/>
        <w:outlineLvl w:val="1"/>
        <w:rPr>
          <w:rFonts w:hint="eastAsia" w:ascii="仿宋" w:hAnsi="仿宋" w:eastAsia="仿宋" w:cs="仿宋"/>
          <w:b/>
          <w:sz w:val="24"/>
          <w:szCs w:val="24"/>
          <w:highlight w:val="none"/>
        </w:rPr>
      </w:pPr>
      <w:bookmarkStart w:id="15" w:name="_Toc391912292"/>
      <w:bookmarkStart w:id="16" w:name="_Toc391912315"/>
      <w:r>
        <w:rPr>
          <w:rFonts w:hint="eastAsia" w:ascii="仿宋" w:hAnsi="仿宋" w:eastAsia="仿宋" w:cs="仿宋"/>
          <w:b/>
          <w:sz w:val="24"/>
          <w:szCs w:val="24"/>
          <w:highlight w:val="none"/>
        </w:rPr>
        <w:t>二、资产情况</w:t>
      </w:r>
      <w:bookmarkEnd w:id="15"/>
      <w:bookmarkEnd w:id="16"/>
    </w:p>
    <w:p>
      <w:pPr>
        <w:adjustRightInd w:val="0"/>
        <w:snapToGrid w:val="0"/>
        <w:spacing w:line="400" w:lineRule="exact"/>
        <w:ind w:firstLine="240" w:firstLineChars="100"/>
        <w:outlineLvl w:val="1"/>
        <w:rPr>
          <w:rFonts w:hint="eastAsia" w:ascii="仿宋" w:hAnsi="仿宋" w:eastAsia="仿宋" w:cs="仿宋"/>
          <w:b/>
          <w:sz w:val="24"/>
          <w:szCs w:val="24"/>
          <w:highlight w:val="none"/>
        </w:rPr>
      </w:pPr>
      <w:r>
        <w:rPr>
          <w:rFonts w:hint="eastAsia" w:ascii="仿宋" w:hAnsi="仿宋" w:eastAsia="仿宋" w:cs="仿宋"/>
          <w:sz w:val="24"/>
          <w:szCs w:val="24"/>
          <w:highlight w:val="none"/>
        </w:rPr>
        <w:t>（一）基本情况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1.资产类型：</w:t>
      </w:r>
      <w:r>
        <w:rPr>
          <w:rFonts w:hint="eastAsia" w:ascii="仿宋" w:hAnsi="仿宋" w:eastAsia="仿宋" w:cs="仿宋"/>
          <w:color w:val="auto"/>
          <w:sz w:val="24"/>
          <w:szCs w:val="24"/>
          <w:highlight w:val="none"/>
          <w:u w:val="single"/>
        </w:rPr>
        <w:t>物业资产</w:t>
      </w:r>
      <w:r>
        <w:rPr>
          <w:rFonts w:hint="eastAsia" w:ascii="仿宋" w:hAnsi="仿宋" w:eastAsia="仿宋" w:cs="仿宋"/>
          <w:sz w:val="24"/>
          <w:szCs w:val="24"/>
          <w:highlight w:val="none"/>
          <w:u w:val="single"/>
        </w:rPr>
        <w:t xml:space="preserve"> </w:t>
      </w:r>
    </w:p>
    <w:p>
      <w:pPr>
        <w:adjustRightInd w:val="0"/>
        <w:snapToGrid w:val="0"/>
        <w:spacing w:line="400" w:lineRule="exact"/>
        <w:ind w:firstLine="240" w:firstLineChars="100"/>
        <w:outlineLvl w:val="1"/>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2.坐落位置：</w:t>
      </w:r>
      <w:r>
        <w:rPr>
          <w:rFonts w:hint="eastAsia" w:ascii="仿宋" w:hAnsi="仿宋" w:eastAsia="仿宋" w:cs="仿宋"/>
          <w:color w:val="auto"/>
          <w:sz w:val="24"/>
          <w:szCs w:val="24"/>
          <w:highlight w:val="none"/>
          <w:u w:val="single"/>
          <w:lang w:val="en-US" w:eastAsia="zh-CN"/>
        </w:rPr>
        <w:t>广州市天河区濂泉路21号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3.资产面积：</w:t>
      </w:r>
      <w:r>
        <w:rPr>
          <w:rFonts w:hint="eastAsia" w:ascii="仿宋" w:hAnsi="仿宋" w:eastAsia="仿宋" w:cs="仿宋"/>
          <w:sz w:val="24"/>
          <w:szCs w:val="24"/>
          <w:highlight w:val="none"/>
          <w:u w:val="single"/>
        </w:rPr>
        <w:t xml:space="preserve">7.5平方米 </w:t>
      </w:r>
    </w:p>
    <w:p>
      <w:pPr>
        <w:adjustRightInd w:val="0"/>
        <w:snapToGrid w:val="0"/>
        <w:spacing w:line="400" w:lineRule="exact"/>
        <w:ind w:firstLine="240" w:firstLineChars="100"/>
        <w:outlineLvl w:val="1"/>
        <w:rPr>
          <w:rFonts w:hint="eastAsia" w:ascii="仿宋" w:hAnsi="仿宋" w:eastAsia="仿宋" w:cs="仿宋"/>
          <w:b/>
          <w:sz w:val="24"/>
          <w:szCs w:val="24"/>
          <w:highlight w:val="none"/>
          <w:lang w:eastAsia="zh-CN"/>
        </w:rPr>
      </w:pPr>
      <w:r>
        <w:rPr>
          <w:rFonts w:hint="eastAsia" w:ascii="仿宋" w:hAnsi="仿宋" w:eastAsia="仿宋" w:cs="仿宋"/>
          <w:sz w:val="24"/>
          <w:szCs w:val="24"/>
          <w:highlight w:val="none"/>
        </w:rPr>
        <w:t>4.资产用途：</w:t>
      </w:r>
      <w:r>
        <w:rPr>
          <w:rFonts w:hint="eastAsia" w:ascii="仿宋" w:hAnsi="仿宋" w:eastAsia="仿宋" w:cs="仿宋"/>
          <w:color w:val="auto"/>
          <w:sz w:val="24"/>
          <w:szCs w:val="24"/>
          <w:highlight w:val="none"/>
          <w:u w:val="single"/>
          <w:lang w:val="en-US" w:eastAsia="zh-CN"/>
        </w:rPr>
        <w:t>服装批发、零售</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5.资产现状：</w:t>
      </w:r>
      <w:r>
        <w:rPr>
          <w:rFonts w:hint="eastAsia" w:ascii="仿宋" w:hAnsi="仿宋" w:eastAsia="仿宋" w:cs="仿宋"/>
          <w:sz w:val="24"/>
          <w:szCs w:val="24"/>
          <w:highlight w:val="none"/>
          <w:u w:val="single"/>
        </w:rPr>
        <w:t>闲置</w:t>
      </w:r>
    </w:p>
    <w:p>
      <w:pPr>
        <w:adjustRightInd w:val="0"/>
        <w:snapToGrid w:val="0"/>
        <w:spacing w:line="400" w:lineRule="exact"/>
        <w:ind w:firstLine="240" w:firstLineChars="1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6.产权现状：</w:t>
      </w:r>
      <w:r>
        <w:rPr>
          <w:rFonts w:hint="eastAsia" w:ascii="仿宋" w:hAnsi="仿宋" w:eastAsia="仿宋" w:cs="仿宋"/>
          <w:sz w:val="24"/>
          <w:szCs w:val="24"/>
          <w:highlight w:val="none"/>
          <w:u w:val="single"/>
          <w:lang w:eastAsia="zh-CN"/>
        </w:rPr>
        <w:t>无</w:t>
      </w:r>
      <w:r>
        <w:rPr>
          <w:rFonts w:hint="eastAsia" w:ascii="仿宋" w:hAnsi="仿宋" w:eastAsia="仿宋" w:cs="仿宋"/>
          <w:sz w:val="24"/>
          <w:szCs w:val="24"/>
          <w:highlight w:val="none"/>
          <w:u w:val="single"/>
          <w:lang w:val="en-US" w:eastAsia="zh-CN"/>
        </w:rPr>
        <w:t>产权证</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（二）权属情况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1.土地所有权人(或有效证明材料编号)：</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2.土地所有权证号(或其他权属有效证明材料编号)：</w:t>
      </w:r>
      <w:r>
        <w:rPr>
          <w:rFonts w:hint="eastAsia" w:ascii="仿宋" w:hAnsi="仿宋" w:eastAsia="仿宋" w:cs="仿宋"/>
          <w:color w:val="000000"/>
          <w:sz w:val="24"/>
          <w:szCs w:val="24"/>
          <w:highlight w:val="none"/>
          <w:u w:val="single"/>
          <w:lang w:val="en-US" w:eastAsia="zh-CN"/>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3.土地使用权人：</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4.土地使用权证号(或其他权属有效证明材料编号)：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5.地号：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6.房产所有权人：</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default" w:ascii="仿宋" w:hAnsi="仿宋" w:eastAsia="仿宋" w:cs="仿宋"/>
          <w:sz w:val="24"/>
          <w:szCs w:val="24"/>
          <w:highlight w:val="none"/>
          <w:u w:val="single"/>
          <w:shd w:val="clear" w:color="auto" w:fill="FABF8F"/>
          <w:lang w:val="en-US"/>
        </w:rPr>
      </w:pPr>
      <w:r>
        <w:rPr>
          <w:rFonts w:hint="eastAsia" w:ascii="仿宋" w:hAnsi="仿宋" w:eastAsia="仿宋" w:cs="仿宋"/>
          <w:sz w:val="24"/>
          <w:szCs w:val="24"/>
          <w:highlight w:val="none"/>
          <w:u w:val="none"/>
          <w:shd w:val="clear" w:color="auto" w:fill="auto"/>
          <w:lang w:val="en-US" w:eastAsia="zh-CN"/>
        </w:rPr>
        <w:t>7.房产所有权证号（或其他权属有效证明材料）：</w:t>
      </w:r>
      <w:r>
        <w:rPr>
          <w:rFonts w:hint="eastAsia" w:ascii="仿宋" w:hAnsi="仿宋" w:eastAsia="仿宋" w:cs="仿宋"/>
          <w:sz w:val="24"/>
          <w:szCs w:val="24"/>
          <w:highlight w:val="none"/>
          <w:u w:val="single"/>
          <w:shd w:val="clear" w:color="auto" w:fill="auto"/>
          <w:lang w:val="en-US" w:eastAsia="zh-CN"/>
        </w:rPr>
        <w:t xml:space="preserve"> </w:t>
      </w:r>
      <w:r>
        <w:rPr>
          <w:rFonts w:hint="eastAsia" w:eastAsia="仿宋_GB2312" w:cs="Times New Roman"/>
          <w:sz w:val="24"/>
          <w:highlight w:val="none"/>
          <w:u w:val="single"/>
          <w:lang w:val="en-US" w:eastAsia="zh-CN"/>
        </w:rPr>
        <w:t xml:space="preserve">/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（三）抵押情况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1.抵押权人：</w:t>
      </w:r>
      <w:r>
        <w:rPr>
          <w:rFonts w:hint="eastAsia" w:ascii="仿宋" w:hAnsi="仿宋" w:eastAsia="仿宋" w:cs="仿宋"/>
          <w:sz w:val="24"/>
          <w:szCs w:val="24"/>
          <w:highlight w:val="none"/>
          <w:u w:val="single"/>
        </w:rPr>
        <w:t xml:space="preserve">     无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2.他项权证号：</w:t>
      </w:r>
      <w:r>
        <w:rPr>
          <w:rFonts w:hint="eastAsia" w:ascii="仿宋" w:hAnsi="仿宋" w:eastAsia="仿宋" w:cs="仿宋"/>
          <w:sz w:val="24"/>
          <w:szCs w:val="24"/>
          <w:highlight w:val="none"/>
          <w:u w:val="single"/>
        </w:rPr>
        <w:t>无</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3.抵押期限：从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日至</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（四）消防情况：</w:t>
      </w:r>
      <w:bookmarkStart w:id="17" w:name="_Toc391912316"/>
      <w:bookmarkStart w:id="18" w:name="_Toc391912293"/>
      <w:r>
        <w:rPr>
          <w:rFonts w:hint="eastAsia" w:ascii="仿宋" w:hAnsi="仿宋" w:eastAsia="仿宋" w:cs="仿宋"/>
          <w:sz w:val="24"/>
          <w:szCs w:val="24"/>
          <w:highlight w:val="none"/>
          <w:u w:val="single"/>
          <w:lang w:eastAsia="zh-CN"/>
        </w:rPr>
        <w:t>未取得有关部门颁发的消防证照</w:t>
      </w:r>
    </w:p>
    <w:p>
      <w:pPr>
        <w:adjustRightInd w:val="0"/>
        <w:snapToGrid w:val="0"/>
        <w:spacing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三、租赁/承包要求</w:t>
      </w:r>
      <w:bookmarkEnd w:id="17"/>
      <w:bookmarkEnd w:id="18"/>
    </w:p>
    <w:p>
      <w:pPr>
        <w:adjustRightInd w:val="0"/>
        <w:spacing w:line="400" w:lineRule="exact"/>
        <w:ind w:firstLine="240" w:firstLineChars="100"/>
        <w:rPr>
          <w:rFonts w:hint="default" w:ascii="仿宋" w:hAnsi="仿宋" w:eastAsia="仿宋" w:cs="仿宋"/>
          <w:sz w:val="24"/>
          <w:szCs w:val="24"/>
          <w:highlight w:val="none"/>
          <w:u w:val="single"/>
          <w:lang w:val="en-US" w:eastAsia="zh-CN"/>
        </w:rPr>
      </w:pPr>
      <w:bookmarkStart w:id="19" w:name="_Toc391912294"/>
      <w:bookmarkStart w:id="20" w:name="_Toc391912317"/>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资产交付时间：</w:t>
      </w:r>
      <w:r>
        <w:rPr>
          <w:rFonts w:hint="eastAsia" w:ascii="仿宋" w:hAnsi="仿宋" w:eastAsia="仿宋" w:cs="仿宋"/>
          <w:sz w:val="24"/>
          <w:szCs w:val="24"/>
          <w:highlight w:val="none"/>
          <w:u w:val="single"/>
          <w:lang w:val="en-US" w:eastAsia="zh-CN"/>
        </w:rPr>
        <w:t>2024年2月1日</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）租赁/承包期限为</w:t>
      </w:r>
      <w:r>
        <w:rPr>
          <w:rFonts w:hint="eastAsia" w:ascii="仿宋" w:hAnsi="仿宋" w:eastAsia="仿宋" w:cs="仿宋"/>
          <w:sz w:val="24"/>
          <w:szCs w:val="24"/>
          <w:highlight w:val="none"/>
          <w:u w:val="single"/>
          <w:lang w:val="en-US" w:eastAsia="zh-CN"/>
        </w:rPr>
        <w:t xml:space="preserve"> 3 年</w:t>
      </w:r>
      <w:r>
        <w:rPr>
          <w:rFonts w:hint="eastAsia" w:ascii="仿宋" w:hAnsi="仿宋" w:eastAsia="仿宋" w:cs="仿宋"/>
          <w:sz w:val="24"/>
          <w:szCs w:val="24"/>
          <w:highlight w:val="none"/>
        </w:rPr>
        <w:t>，即从</w:t>
      </w:r>
      <w:r>
        <w:rPr>
          <w:rFonts w:hint="eastAsia" w:ascii="仿宋" w:hAnsi="仿宋" w:eastAsia="仿宋" w:cs="仿宋"/>
          <w:sz w:val="24"/>
          <w:szCs w:val="24"/>
          <w:highlight w:val="none"/>
          <w:u w:val="single"/>
          <w:lang w:val="en-US" w:eastAsia="zh-CN"/>
        </w:rPr>
        <w:t>2024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w:t>
      </w:r>
      <w:r>
        <w:rPr>
          <w:rFonts w:hint="eastAsia" w:ascii="仿宋" w:hAnsi="仿宋" w:eastAsia="仿宋" w:cs="仿宋"/>
          <w:sz w:val="24"/>
          <w:szCs w:val="24"/>
          <w:highlight w:val="none"/>
          <w:u w:val="single"/>
          <w:lang w:val="en-US" w:eastAsia="zh-CN"/>
        </w:rPr>
        <w:t>27</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止。</w:t>
      </w:r>
    </w:p>
    <w:p>
      <w:pPr>
        <w:adjustRightInd w:val="0"/>
        <w:spacing w:line="40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adjustRightInd w:val="0"/>
        <w:spacing w:line="44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租金按</w:t>
      </w:r>
      <w:r>
        <w:rPr>
          <w:rFonts w:hint="eastAsia" w:ascii="仿宋" w:hAnsi="仿宋" w:eastAsia="仿宋" w:cs="仿宋"/>
          <w:sz w:val="24"/>
          <w:szCs w:val="24"/>
          <w:highlight w:val="none"/>
          <w:u w:val="single"/>
          <w:lang w:val="en-US" w:eastAsia="zh-CN"/>
        </w:rPr>
        <w:t xml:space="preserve"> 年 </w:t>
      </w:r>
      <w:r>
        <w:rPr>
          <w:rFonts w:hint="eastAsia" w:ascii="仿宋" w:hAnsi="仿宋" w:eastAsia="仿宋" w:cs="仿宋"/>
          <w:sz w:val="24"/>
          <w:szCs w:val="24"/>
          <w:highlight w:val="none"/>
          <w:lang w:eastAsia="zh-CN"/>
        </w:rPr>
        <w:t>收取。</w:t>
      </w:r>
    </w:p>
    <w:p>
      <w:pPr>
        <w:adjustRightInd w:val="0"/>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租金及其他相应费用</w:t>
      </w:r>
    </w:p>
    <w:p>
      <w:pPr>
        <w:adjustRightInd w:val="0"/>
        <w:spacing w:line="440" w:lineRule="exact"/>
        <w:ind w:left="142" w:firstLine="360" w:firstLineChars="1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1.</w:t>
      </w:r>
      <w:r>
        <w:rPr>
          <w:rFonts w:hint="eastAsia" w:ascii="仿宋" w:hAnsi="仿宋" w:eastAsia="仿宋" w:cs="仿宋"/>
          <w:color w:val="auto"/>
          <w:sz w:val="24"/>
          <w:szCs w:val="24"/>
          <w:highlight w:val="none"/>
        </w:rPr>
        <w:t>租金总额由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color w:val="auto"/>
          <w:sz w:val="24"/>
          <w:szCs w:val="24"/>
          <w:highlight w:val="none"/>
          <w:u w:val="single"/>
          <w:lang w:eastAsia="zh-CN"/>
        </w:rPr>
        <w:t>租金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u w:val="single"/>
        </w:rPr>
        <w:t>18000元/</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sz w:val="24"/>
          <w:szCs w:val="24"/>
          <w:highlight w:val="none"/>
          <w:u w:val="single"/>
          <w:lang w:eastAsia="zh-CN"/>
        </w:rPr>
        <w:t>（以成交价为准）</w:t>
      </w:r>
      <w:r>
        <w:rPr>
          <w:rFonts w:hint="eastAsia" w:ascii="仿宋" w:hAnsi="仿宋" w:eastAsia="仿宋" w:cs="仿宋"/>
          <w:sz w:val="24"/>
          <w:szCs w:val="24"/>
          <w:highlight w:val="none"/>
          <w:u w:val="single"/>
        </w:rPr>
        <w:t>；</w:t>
      </w:r>
    </w:p>
    <w:p>
      <w:pPr>
        <w:adjustRightInd w:val="0"/>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租金递增方式为: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不递增</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p>
    <w:p>
      <w:pPr>
        <w:adjustRightInd w:val="0"/>
        <w:spacing w:line="400" w:lineRule="exact"/>
        <w:ind w:firstLine="723" w:firstLineChars="300"/>
        <w:rPr>
          <w:rFonts w:hint="eastAsia" w:ascii="仿宋" w:hAnsi="仿宋" w:eastAsia="宋体" w:cs="仿宋"/>
          <w:sz w:val="24"/>
          <w:szCs w:val="24"/>
          <w:highlight w:val="none"/>
          <w:lang w:eastAsia="zh-CN"/>
        </w:rPr>
      </w:pPr>
      <w:r>
        <w:rPr>
          <w:rFonts w:hint="eastAsia" w:ascii="仿宋" w:hAnsi="仿宋" w:eastAsia="仿宋" w:cs="仿宋"/>
          <w:b/>
          <w:sz w:val="24"/>
          <w:szCs w:val="24"/>
          <w:highlight w:val="none"/>
        </w:rPr>
        <w:t>四、</w:t>
      </w:r>
      <w:bookmarkEnd w:id="19"/>
      <w:bookmarkEnd w:id="20"/>
      <w:r>
        <w:rPr>
          <w:rFonts w:hint="eastAsia" w:ascii="仿宋" w:hAnsi="仿宋" w:eastAsia="仿宋" w:cs="仿宋"/>
          <w:b/>
          <w:bCs/>
          <w:sz w:val="24"/>
          <w:szCs w:val="24"/>
          <w:highlight w:val="none"/>
        </w:rPr>
        <w:t>其他需要约定的事项</w:t>
      </w:r>
      <w:bookmarkStart w:id="21" w:name="_Toc322033390"/>
      <w:bookmarkStart w:id="22" w:name="_Toc391912318"/>
      <w:bookmarkStart w:id="23" w:name="_Toc5946"/>
      <w:bookmarkStart w:id="24" w:name="_Toc391912295"/>
    </w:p>
    <w:p>
      <w:pPr>
        <w:widowControl/>
        <w:adjustRightInd w:val="0"/>
        <w:spacing w:line="500" w:lineRule="exact"/>
        <w:ind w:firstLine="480" w:firstLineChars="200"/>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i w:val="0"/>
          <w:iCs w:val="0"/>
          <w:caps w:val="0"/>
          <w:color w:val="222222"/>
          <w:spacing w:val="0"/>
          <w:sz w:val="24"/>
          <w:szCs w:val="24"/>
          <w:highlight w:val="none"/>
          <w:u w:val="single"/>
          <w:shd w:val="clear" w:color="auto" w:fill="auto"/>
        </w:rPr>
        <w:t>竞投人成功竞得的，若未在竞得后2个工作日内携带相关资料到天河区农村集体资产交易中心签订纸质网上交易平台服务协议及广州市天河区农村集体资产交易确认书的视为自动放弃竞得资格，或</w:t>
      </w:r>
      <w:r>
        <w:rPr>
          <w:rFonts w:hint="eastAsia" w:ascii="仿宋" w:hAnsi="仿宋" w:eastAsia="仿宋" w:cs="仿宋"/>
          <w:sz w:val="24"/>
          <w:szCs w:val="24"/>
          <w:highlight w:val="none"/>
          <w:u w:val="single"/>
          <w:lang w:val="en-US" w:eastAsia="zh-CN"/>
        </w:rPr>
        <w:t>在竞投结果公示结束后5个工作日内，因竞得人原因未与项目业主单位签订合同，其缴纳的交易保证金3000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sz w:val="24"/>
          <w:szCs w:val="24"/>
          <w:highlight w:val="none"/>
          <w:u w:val="single"/>
          <w:lang w:val="en-US" w:eastAsia="zh-CN"/>
        </w:rPr>
        <w:t>将由交易服务机构一次性全额不计息转交给项目业主单位，项目业主单位将作全额没收处理。</w:t>
      </w:r>
    </w:p>
    <w:p>
      <w:pPr>
        <w:widowControl/>
        <w:adjustRightInd w:val="0"/>
        <w:spacing w:line="500" w:lineRule="exact"/>
        <w:ind w:firstLine="480" w:firstLineChars="200"/>
        <w:jc w:val="left"/>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2、</w:t>
      </w:r>
      <w:r>
        <w:rPr>
          <w:rFonts w:hint="eastAsia" w:ascii="仿宋" w:hAnsi="仿宋" w:eastAsia="仿宋" w:cs="仿宋"/>
          <w:color w:val="auto"/>
          <w:spacing w:val="0"/>
          <w:position w:val="0"/>
          <w:sz w:val="24"/>
          <w:szCs w:val="24"/>
          <w:highlight w:val="none"/>
          <w:u w:val="single"/>
          <w:shd w:val="clear" w:color="auto" w:fill="auto"/>
        </w:rPr>
        <w:t>本项目合同履约保证金为</w:t>
      </w:r>
      <w:r>
        <w:rPr>
          <w:rFonts w:hint="eastAsia" w:ascii="仿宋" w:hAnsi="仿宋" w:eastAsia="仿宋" w:cs="仿宋"/>
          <w:color w:val="auto"/>
          <w:spacing w:val="0"/>
          <w:position w:val="0"/>
          <w:sz w:val="24"/>
          <w:szCs w:val="24"/>
          <w:highlight w:val="none"/>
          <w:u w:val="single"/>
          <w:shd w:val="clear" w:color="auto" w:fill="auto"/>
          <w:lang w:val="en-US" w:eastAsia="zh-CN"/>
        </w:rPr>
        <w:t>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color w:val="auto"/>
          <w:spacing w:val="0"/>
          <w:position w:val="0"/>
          <w:sz w:val="24"/>
          <w:szCs w:val="24"/>
          <w:highlight w:val="none"/>
          <w:u w:val="single"/>
          <w:shd w:val="clear" w:color="auto" w:fill="auto"/>
          <w:lang w:eastAsia="zh-CN"/>
        </w:rPr>
        <w:t>，</w:t>
      </w:r>
      <w:r>
        <w:rPr>
          <w:rFonts w:hint="eastAsia" w:ascii="仿宋" w:hAnsi="仿宋" w:eastAsia="仿宋" w:cs="仿宋"/>
          <w:color w:val="auto"/>
          <w:spacing w:val="0"/>
          <w:position w:val="0"/>
          <w:sz w:val="24"/>
          <w:szCs w:val="24"/>
          <w:highlight w:val="none"/>
          <w:u w:val="single"/>
          <w:shd w:val="clear" w:color="auto" w:fill="auto"/>
        </w:rPr>
        <w:t>其中交易保证金3000</w:t>
      </w:r>
      <w:r>
        <w:rPr>
          <w:rFonts w:hint="eastAsia" w:ascii="仿宋" w:hAnsi="仿宋" w:eastAsia="仿宋" w:cs="仿宋"/>
          <w:color w:val="auto"/>
          <w:spacing w:val="0"/>
          <w:position w:val="0"/>
          <w:sz w:val="24"/>
          <w:szCs w:val="24"/>
          <w:highlight w:val="none"/>
          <w:u w:val="single"/>
          <w:shd w:val="clear" w:color="auto" w:fill="auto"/>
          <w:lang w:val="en-US" w:eastAsia="zh-CN"/>
        </w:rPr>
        <w:t>元（大写：叁仟元整）</w:t>
      </w:r>
      <w:r>
        <w:rPr>
          <w:rFonts w:hint="eastAsia" w:ascii="仿宋" w:hAnsi="仿宋" w:eastAsia="仿宋" w:cs="仿宋"/>
          <w:color w:val="auto"/>
          <w:spacing w:val="0"/>
          <w:position w:val="0"/>
          <w:sz w:val="24"/>
          <w:szCs w:val="24"/>
          <w:highlight w:val="none"/>
          <w:u w:val="single"/>
          <w:shd w:val="clear" w:color="auto" w:fill="auto"/>
        </w:rPr>
        <w:t>将转为合同履约保证金。</w:t>
      </w:r>
    </w:p>
    <w:p>
      <w:pPr>
        <w:pStyle w:val="114"/>
        <w:keepNext w:val="0"/>
        <w:keepLines w:val="0"/>
        <w:pageBreakBefore w:val="0"/>
        <w:kinsoku/>
        <w:wordWrap/>
        <w:overflowPunct/>
        <w:topLinePunct w:val="0"/>
        <w:autoSpaceDE/>
        <w:bidi w:val="0"/>
        <w:spacing w:line="520" w:lineRule="exact"/>
        <w:ind w:left="0" w:leftChars="0" w:firstLine="420" w:firstLineChars="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3、出租物业计租面积约7.5平方米 ，如出租物业的实际面积与附图不符，仍以7.5平方米计算租金。任何与面积相关的费用计算均按照此约定计租面积7.5平方米为准，任何其它方式测量均不影响该计租面积的确认。如租赁合同约定之面积与实际交付面积存在误差的，则出租方不予退还租金，承租方也不用多缴误差之租金数额。承租方不得以此为由解除合同或要求出租方支付补偿或赔偿，否则视为严重违约，出租方有权没收履约保证金。</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4、承租方每年除缴纳租金外，还需要每月缴纳综合管理费250元/月，卫生费、消防费、治安费110元/月，及商铺实际用电费用（按商铺当月电表读数，随供电部门单价进行调整）。</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color w:val="auto"/>
          <w:spacing w:val="0"/>
          <w:position w:val="0"/>
          <w:sz w:val="24"/>
          <w:szCs w:val="24"/>
          <w:highlight w:val="none"/>
          <w:u w:val="single"/>
          <w:shd w:val="clear" w:color="auto" w:fill="auto"/>
          <w:lang w:val="en-US" w:eastAsia="zh-CN"/>
        </w:rPr>
        <w:t>5、</w:t>
      </w:r>
      <w:r>
        <w:rPr>
          <w:rFonts w:hint="eastAsia" w:ascii="仿宋" w:hAnsi="仿宋" w:eastAsia="仿宋" w:cs="仿宋"/>
          <w:color w:val="auto"/>
          <w:spacing w:val="0"/>
          <w:position w:val="0"/>
          <w:sz w:val="24"/>
          <w:szCs w:val="24"/>
          <w:highlight w:val="none"/>
          <w:u w:val="single"/>
          <w:shd w:val="clear" w:color="auto" w:fill="auto"/>
        </w:rPr>
        <w:t>本次交易没有给予优先权安排。</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6、出租</w:t>
      </w:r>
      <w:r>
        <w:rPr>
          <w:rFonts w:hint="eastAsia" w:ascii="仿宋" w:hAnsi="仿宋" w:eastAsia="仿宋" w:cs="仿宋"/>
          <w:sz w:val="24"/>
          <w:szCs w:val="24"/>
          <w:highlight w:val="none"/>
          <w:u w:val="single"/>
        </w:rPr>
        <w:t>方在签订本合同的同时签署《</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》为本合同的组成部分，与本合同具同等法律效力，</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方有权协助政府相关部门监督</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方严格履行《</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方一旦违反责任书，视为严重违约，</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方有权解除本合同，无偿收回物业，并没收保证金，所引起的全部经济损失和法律责任由</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方自行承担。</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color w:val="auto"/>
          <w:spacing w:val="0"/>
          <w:position w:val="0"/>
          <w:sz w:val="24"/>
          <w:szCs w:val="24"/>
          <w:highlight w:val="none"/>
          <w:u w:val="single"/>
          <w:shd w:val="clear" w:color="auto" w:fill="auto"/>
          <w:lang w:val="en-US" w:eastAsia="zh-CN"/>
        </w:rPr>
        <w:t>7、</w:t>
      </w:r>
      <w:r>
        <w:rPr>
          <w:rFonts w:hint="eastAsia" w:ascii="仿宋" w:hAnsi="仿宋" w:eastAsia="仿宋" w:cs="仿宋"/>
          <w:sz w:val="24"/>
          <w:szCs w:val="24"/>
          <w:highlight w:val="none"/>
          <w:u w:val="single"/>
          <w:lang w:val="en-US" w:eastAsia="zh-CN"/>
        </w:rPr>
        <w:t>该标的物业暂未取得政府部门颁发的产权证明、建设工程规划许可证等证件，标的物业之用途也未取得相关政府部门的证件、消防证照、未办理相关手续等。承租方自行办理本标的物业的工商证照、消防证照、营业手续等，承租方确认，承租方竞投前已经自行通过现场踏勘及向相关部门咨询等多种方式对租赁场地之现状、用途等进行充分了解，已完全知悉并评估场地办理工商登记等经营手续的所有风险。承租方保证不以租赁场地现状及办理相关手续结果为理由解除租赁合同、拖欠租金或要求减免租金等，否则视为承租方严重违约,出租方有权按照租赁合同追究承租方的违约责任。如租赁合同因权属证明及相关证照等原因被认定无效，项目业主单位仍有权要求承租方支付标的物业场地使用费、管理费（如有）等，标的使用费的金额按租赁合同中有关租金的约定为标准计算。</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8、须按相关管理法规要求领取营业执照、卫生许可证、税务登记证、特种行业经营许可证、消防等相关证照，并自行负担办理证照所需费用，否则视作承租方违约。</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9、不得改变租赁物业结构或增设构筑物，如确需对租赁物业进行装修或增加设施，需征得出租方书面同意并由承租方合法合规办理相关报建报批手续，且不得对物业结构构成影响，否则视作承租方违约，出租方有权单方终止合同，没收合同履约保证金，无偿收回出租物业，并赔偿由此造成出租方的经济损失。承租方须保证施工安全，因施工造成人身伤亡或财产损失的由承租方负责赔偿。</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10、本合同物业仅用于经营</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sz w:val="24"/>
          <w:szCs w:val="24"/>
          <w:highlight w:val="none"/>
          <w:u w:val="single"/>
          <w:lang w:val="en-US" w:eastAsia="zh-CN"/>
        </w:rPr>
        <w:t>行业，承租方不得擅自变更租赁物业及其附属设施设施用途，如确需改变，必须征得出租方书面同意并取得相关行政主管部门的审批核准或备案登记后方可变更。否则，出租方有权单方解除本合同，并没收合同履约保证金，无偿收回承租物业，承租方擅自变更租赁用途所产生的法律责任由承租方自行承担。</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11、</w:t>
      </w:r>
      <w:r>
        <w:rPr>
          <w:rFonts w:hint="eastAsia" w:ascii="仿宋" w:hAnsi="仿宋" w:eastAsia="仿宋" w:cs="仿宋"/>
          <w:sz w:val="24"/>
          <w:szCs w:val="24"/>
          <w:highlight w:val="none"/>
          <w:u w:val="single"/>
          <w:lang w:eastAsia="zh-CN"/>
        </w:rPr>
        <w:t>出租方</w:t>
      </w:r>
      <w:r>
        <w:rPr>
          <w:rFonts w:hint="eastAsia" w:ascii="仿宋" w:hAnsi="仿宋" w:eastAsia="仿宋" w:cs="仿宋"/>
          <w:sz w:val="24"/>
          <w:szCs w:val="24"/>
          <w:highlight w:val="none"/>
          <w:u w:val="single"/>
          <w:lang w:val="en-US" w:eastAsia="zh-CN"/>
        </w:rPr>
        <w:t>按供电部门每月发布的月度用电价格计收电费， 如遇政府相关部门实行电价调整时，双方再根据政府供电部门调整的价格幅度作相应的调整。电等费用由承租方在次月15日前（如遇节假日顺延）一次性缴清给出租方，承租方不能按时一次性缴足上述费用，视为承租方违约。</w:t>
      </w: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pStyle w:val="17"/>
        <w:numPr>
          <w:ilvl w:val="0"/>
          <w:numId w:val="0"/>
        </w:numPr>
        <w:spacing w:line="400" w:lineRule="exact"/>
        <w:ind w:left="0"/>
        <w:jc w:val="left"/>
        <w:rPr>
          <w:rFonts w:hint="eastAsia" w:ascii="宋体" w:hAnsi="宋体" w:eastAsia="宋体" w:cs="宋体"/>
          <w:b/>
          <w:bCs/>
          <w:color w:val="auto"/>
          <w:sz w:val="32"/>
          <w:szCs w:val="32"/>
          <w:highlight w:val="none"/>
        </w:rPr>
      </w:pPr>
    </w:p>
    <w:p>
      <w:pPr>
        <w:pStyle w:val="17"/>
        <w:numPr>
          <w:ilvl w:val="0"/>
          <w:numId w:val="6"/>
        </w:num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竞投须知</w:t>
      </w:r>
    </w:p>
    <w:bookmarkEnd w:id="21"/>
    <w:bookmarkEnd w:id="22"/>
    <w:bookmarkEnd w:id="23"/>
    <w:bookmarkEnd w:id="24"/>
    <w:p>
      <w:pPr>
        <w:pStyle w:val="17"/>
        <w:keepNext w:val="0"/>
        <w:keepLines w:val="0"/>
        <w:pageBreakBefore w:val="0"/>
        <w:widowControl w:val="0"/>
        <w:kinsoku/>
        <w:wordWrap/>
        <w:overflowPunct/>
        <w:topLinePunct w:val="0"/>
        <w:autoSpaceDE/>
        <w:autoSpaceDN/>
        <w:bidi w:val="0"/>
        <w:adjustRightInd/>
        <w:snapToGrid/>
        <w:spacing w:before="200"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一、竞投人参加网上竞投的基本要求</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：参加网上竞投的竞投人必须以营业执照上的单位名称注册账号；</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（二）非法人企业</w:t>
      </w:r>
      <w:r>
        <w:rPr>
          <w:rFonts w:hint="eastAsia" w:ascii="仿宋" w:hAnsi="仿宋" w:eastAsia="仿宋" w:cs="仿宋"/>
          <w:color w:val="auto"/>
          <w:sz w:val="24"/>
          <w:szCs w:val="24"/>
          <w:highlight w:val="none"/>
          <w:lang w:val="en-US" w:eastAsia="zh-CN"/>
        </w:rPr>
        <w:t>：参加网上竞投的竞投人必须以营业执照上的单位名称注册账号；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）工商登记注册的个体户：参加网上竞投的竞投人必须以其在工商部门登记的负责人身份信息注册账号；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）完全民事行为能力的自然人：参加网上竞投的竞投人必须以其本人身份信息注册账号</w:t>
      </w:r>
      <w:bookmarkStart w:id="25" w:name="_Toc391912320"/>
      <w:bookmarkStart w:id="26" w:name="_Toc391912297"/>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二、报名方法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（一）竞投人可于报名时间内通过</w:t>
      </w:r>
      <w:r>
        <w:rPr>
          <w:rFonts w:hint="eastAsia" w:ascii="仿宋" w:hAnsi="仿宋" w:eastAsia="仿宋" w:cs="仿宋"/>
          <w:b w:val="0"/>
          <w:bCs/>
          <w:color w:val="auto"/>
          <w:sz w:val="24"/>
          <w:szCs w:val="24"/>
          <w:highlight w:val="none"/>
          <w:lang w:eastAsia="zh-CN"/>
        </w:rPr>
        <w:t>广州市天河区农村集体资产管理平台</w:t>
      </w:r>
      <w:r>
        <w:rPr>
          <w:rFonts w:hint="eastAsia" w:ascii="仿宋" w:hAnsi="仿宋" w:eastAsia="仿宋" w:cs="仿宋"/>
          <w:b w:val="0"/>
          <w:bCs/>
          <w:color w:val="auto"/>
          <w:sz w:val="24"/>
          <w:szCs w:val="24"/>
          <w:highlight w:val="none"/>
        </w:rPr>
        <w:t>http://szjy.thnet.gov.cn/或“天河农村集体资产交易”微信公众号的【网上竞投】模块</w:t>
      </w:r>
      <w:r>
        <w:rPr>
          <w:rFonts w:hint="eastAsia" w:ascii="仿宋" w:hAnsi="仿宋" w:eastAsia="仿宋" w:cs="仿宋"/>
          <w:b w:val="0"/>
          <w:bCs/>
          <w:color w:val="auto"/>
          <w:sz w:val="24"/>
          <w:szCs w:val="24"/>
          <w:highlight w:val="none"/>
          <w:lang w:eastAsia="zh-CN"/>
        </w:rPr>
        <w:t>进行用户</w:t>
      </w:r>
      <w:r>
        <w:rPr>
          <w:rFonts w:hint="eastAsia" w:ascii="仿宋" w:hAnsi="仿宋" w:eastAsia="仿宋" w:cs="仿宋"/>
          <w:b w:val="0"/>
          <w:bCs/>
          <w:color w:val="auto"/>
          <w:sz w:val="24"/>
          <w:szCs w:val="24"/>
          <w:highlight w:val="none"/>
        </w:rPr>
        <w:t>登录，选择</w:t>
      </w:r>
      <w:r>
        <w:rPr>
          <w:rFonts w:hint="eastAsia" w:ascii="仿宋" w:hAnsi="仿宋" w:eastAsia="仿宋" w:cs="仿宋"/>
          <w:b w:val="0"/>
          <w:bCs/>
          <w:color w:val="auto"/>
          <w:sz w:val="24"/>
          <w:szCs w:val="24"/>
          <w:highlight w:val="none"/>
          <w:lang w:eastAsia="zh-CN"/>
        </w:rPr>
        <w:t>意向</w:t>
      </w:r>
      <w:r>
        <w:rPr>
          <w:rFonts w:hint="eastAsia" w:ascii="仿宋" w:hAnsi="仿宋" w:eastAsia="仿宋" w:cs="仿宋"/>
          <w:b w:val="0"/>
          <w:bCs/>
          <w:color w:val="auto"/>
          <w:sz w:val="24"/>
          <w:szCs w:val="24"/>
          <w:highlight w:val="none"/>
        </w:rPr>
        <w:t>的项目</w:t>
      </w:r>
      <w:r>
        <w:rPr>
          <w:rFonts w:hint="eastAsia" w:ascii="仿宋" w:hAnsi="仿宋" w:eastAsia="仿宋" w:cs="仿宋"/>
          <w:b w:val="0"/>
          <w:bCs/>
          <w:color w:val="auto"/>
          <w:sz w:val="24"/>
          <w:szCs w:val="24"/>
          <w:highlight w:val="none"/>
          <w:lang w:eastAsia="zh-CN"/>
        </w:rPr>
        <w:t>进行报名</w:t>
      </w:r>
      <w:r>
        <w:rPr>
          <w:rFonts w:hint="eastAsia" w:ascii="仿宋" w:hAnsi="仿宋" w:eastAsia="仿宋" w:cs="仿宋"/>
          <w:b w:val="0"/>
          <w:bCs/>
          <w:color w:val="auto"/>
          <w:sz w:val="24"/>
          <w:szCs w:val="24"/>
          <w:highlight w:val="none"/>
        </w:rPr>
        <w:t>，仔细阅读竞投公告并获取</w:t>
      </w:r>
      <w:r>
        <w:rPr>
          <w:rFonts w:hint="eastAsia" w:ascii="仿宋" w:hAnsi="仿宋" w:eastAsia="仿宋" w:cs="仿宋"/>
          <w:b w:val="0"/>
          <w:bCs/>
          <w:color w:val="auto"/>
          <w:sz w:val="24"/>
          <w:szCs w:val="24"/>
          <w:highlight w:val="none"/>
          <w:lang w:eastAsia="zh-CN"/>
        </w:rPr>
        <w:t>交纳交易</w:t>
      </w:r>
      <w:r>
        <w:rPr>
          <w:rFonts w:hint="eastAsia" w:ascii="仿宋" w:hAnsi="仿宋" w:eastAsia="仿宋" w:cs="仿宋"/>
          <w:b w:val="0"/>
          <w:bCs/>
          <w:color w:val="auto"/>
          <w:sz w:val="24"/>
          <w:szCs w:val="24"/>
          <w:highlight w:val="none"/>
        </w:rPr>
        <w:t>保证金</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账号。竞投人通过银行转账方式完成</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后，重新进入报名界面</w:t>
      </w:r>
      <w:r>
        <w:rPr>
          <w:rFonts w:hint="eastAsia" w:ascii="仿宋" w:hAnsi="仿宋" w:eastAsia="仿宋" w:cs="仿宋"/>
          <w:b w:val="0"/>
          <w:bCs/>
          <w:color w:val="auto"/>
          <w:sz w:val="24"/>
          <w:szCs w:val="24"/>
          <w:highlight w:val="none"/>
          <w:lang w:eastAsia="zh-CN"/>
        </w:rPr>
        <w:t>再完整</w:t>
      </w:r>
      <w:r>
        <w:rPr>
          <w:rFonts w:hint="eastAsia" w:ascii="仿宋" w:hAnsi="仿宋" w:eastAsia="仿宋" w:cs="仿宋"/>
          <w:b w:val="0"/>
          <w:bCs/>
          <w:color w:val="auto"/>
          <w:sz w:val="24"/>
          <w:szCs w:val="24"/>
          <w:highlight w:val="none"/>
        </w:rPr>
        <w:t>填写报名信息，上传</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凭证及项目资质要求相符的完整资料，</w:t>
      </w:r>
      <w:r>
        <w:rPr>
          <w:rFonts w:hint="eastAsia" w:ascii="仿宋" w:hAnsi="仿宋" w:eastAsia="仿宋" w:cs="仿宋"/>
          <w:b w:val="0"/>
          <w:bCs/>
          <w:color w:val="auto"/>
          <w:sz w:val="24"/>
          <w:szCs w:val="24"/>
          <w:highlight w:val="none"/>
          <w:lang w:eastAsia="zh-CN"/>
        </w:rPr>
        <w:t>点击保存并提交报名，待审核通过，</w:t>
      </w:r>
      <w:r>
        <w:rPr>
          <w:rFonts w:hint="eastAsia" w:ascii="仿宋" w:hAnsi="仿宋" w:eastAsia="仿宋" w:cs="仿宋"/>
          <w:b w:val="0"/>
          <w:bCs/>
          <w:color w:val="auto"/>
          <w:sz w:val="24"/>
          <w:szCs w:val="24"/>
          <w:highlight w:val="none"/>
        </w:rPr>
        <w:t>完成报名流程。</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（二）如未在管理平台注册的竞投人，需登</w:t>
      </w:r>
      <w:r>
        <w:rPr>
          <w:rFonts w:hint="eastAsia" w:ascii="仿宋" w:hAnsi="仿宋" w:eastAsia="仿宋" w:cs="仿宋"/>
          <w:b w:val="0"/>
          <w:bCs/>
          <w:color w:val="auto"/>
          <w:sz w:val="24"/>
          <w:szCs w:val="24"/>
          <w:highlight w:val="none"/>
          <w:lang w:eastAsia="zh-CN"/>
        </w:rPr>
        <w:t>录</w:t>
      </w:r>
      <w:r>
        <w:rPr>
          <w:rFonts w:hint="eastAsia" w:ascii="仿宋" w:hAnsi="仿宋" w:eastAsia="仿宋" w:cs="仿宋"/>
          <w:b w:val="0"/>
          <w:bCs/>
          <w:color w:val="auto"/>
          <w:sz w:val="24"/>
          <w:szCs w:val="24"/>
          <w:highlight w:val="none"/>
        </w:rPr>
        <w:t>广州市天河区农村集体资产管理平台http://szjy.thnet.gov.cn/或</w:t>
      </w:r>
      <w:r>
        <w:rPr>
          <w:rFonts w:hint="eastAsia" w:ascii="仿宋" w:hAnsi="仿宋" w:eastAsia="仿宋" w:cs="仿宋"/>
          <w:b w:val="0"/>
          <w:bCs/>
          <w:color w:val="auto"/>
          <w:sz w:val="24"/>
          <w:szCs w:val="24"/>
          <w:highlight w:val="none"/>
          <w:lang w:eastAsia="zh-CN"/>
        </w:rPr>
        <w:t>关注</w:t>
      </w:r>
      <w:r>
        <w:rPr>
          <w:rFonts w:hint="eastAsia" w:ascii="仿宋" w:hAnsi="仿宋" w:eastAsia="仿宋" w:cs="仿宋"/>
          <w:b w:val="0"/>
          <w:bCs/>
          <w:color w:val="auto"/>
          <w:sz w:val="24"/>
          <w:szCs w:val="24"/>
          <w:highlight w:val="none"/>
        </w:rPr>
        <w:t>“天河农村集体资产交易”微信公众号进行用户注册，首次注册的用户在完成网上注册资料填写，待审核通过后，可在【网上竞投】模块中</w:t>
      </w:r>
      <w:r>
        <w:rPr>
          <w:rFonts w:hint="eastAsia" w:ascii="仿宋" w:hAnsi="仿宋" w:eastAsia="仿宋" w:cs="仿宋"/>
          <w:b w:val="0"/>
          <w:bCs/>
          <w:color w:val="auto"/>
          <w:sz w:val="24"/>
          <w:szCs w:val="24"/>
          <w:highlight w:val="none"/>
          <w:lang w:eastAsia="zh-CN"/>
        </w:rPr>
        <w:t>选择意向</w:t>
      </w:r>
      <w:r>
        <w:rPr>
          <w:rFonts w:hint="eastAsia" w:ascii="仿宋" w:hAnsi="仿宋" w:eastAsia="仿宋" w:cs="仿宋"/>
          <w:b w:val="0"/>
          <w:bCs/>
          <w:color w:val="auto"/>
          <w:sz w:val="24"/>
          <w:szCs w:val="24"/>
          <w:highlight w:val="none"/>
        </w:rPr>
        <w:t>项目进行报名。</w:t>
      </w:r>
    </w:p>
    <w:p>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三、交易保证金</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（一）竞投人必须</w:t>
      </w:r>
      <w:r>
        <w:rPr>
          <w:rFonts w:hint="eastAsia" w:ascii="仿宋" w:hAnsi="仿宋" w:eastAsia="仿宋" w:cs="仿宋"/>
          <w:b w:val="0"/>
          <w:bCs/>
          <w:color w:val="auto"/>
          <w:sz w:val="24"/>
          <w:szCs w:val="24"/>
          <w:highlight w:val="none"/>
          <w:lang w:eastAsia="zh-CN"/>
        </w:rPr>
        <w:t>按照</w:t>
      </w:r>
      <w:r>
        <w:rPr>
          <w:rFonts w:hint="eastAsia" w:ascii="仿宋" w:hAnsi="仿宋" w:eastAsia="仿宋" w:cs="仿宋"/>
          <w:b w:val="0"/>
          <w:bCs/>
          <w:color w:val="auto"/>
          <w:sz w:val="24"/>
          <w:szCs w:val="24"/>
          <w:highlight w:val="none"/>
        </w:rPr>
        <w:t>本《交易文件》的交易保证金</w:t>
      </w:r>
      <w:r>
        <w:rPr>
          <w:rFonts w:hint="eastAsia" w:ascii="仿宋" w:hAnsi="仿宋" w:eastAsia="仿宋" w:cs="仿宋"/>
          <w:b w:val="0"/>
          <w:bCs/>
          <w:color w:val="auto"/>
          <w:sz w:val="24"/>
          <w:szCs w:val="24"/>
          <w:highlight w:val="none"/>
          <w:lang w:eastAsia="zh-CN"/>
        </w:rPr>
        <w:t>金额</w:t>
      </w:r>
      <w:r>
        <w:rPr>
          <w:rFonts w:hint="eastAsia" w:ascii="仿宋" w:hAnsi="仿宋" w:eastAsia="仿宋" w:cs="仿宋"/>
          <w:b w:val="0"/>
          <w:bCs/>
          <w:color w:val="auto"/>
          <w:sz w:val="24"/>
          <w:szCs w:val="24"/>
          <w:highlight w:val="none"/>
        </w:rPr>
        <w:t>要求及</w:t>
      </w:r>
      <w:r>
        <w:rPr>
          <w:rFonts w:hint="eastAsia" w:ascii="仿宋" w:hAnsi="仿宋" w:eastAsia="仿宋" w:cs="仿宋"/>
          <w:b w:val="0"/>
          <w:bCs/>
          <w:color w:val="auto"/>
          <w:sz w:val="24"/>
          <w:szCs w:val="24"/>
          <w:highlight w:val="none"/>
          <w:lang w:eastAsia="zh-CN"/>
        </w:rPr>
        <w:t>本项目报名界面中显示的</w:t>
      </w:r>
      <w:r>
        <w:rPr>
          <w:rFonts w:hint="eastAsia" w:ascii="仿宋" w:hAnsi="仿宋" w:eastAsia="仿宋" w:cs="仿宋"/>
          <w:b w:val="0"/>
          <w:bCs/>
          <w:color w:val="auto"/>
          <w:sz w:val="24"/>
          <w:szCs w:val="24"/>
          <w:highlight w:val="none"/>
        </w:rPr>
        <w:t>银行账号，确保交易保证金在报名结束前一次性全额到达项目指定账户，交纳方式：银行转账</w:t>
      </w:r>
      <w:r>
        <w:rPr>
          <w:rFonts w:hint="eastAsia" w:ascii="仿宋" w:hAnsi="仿宋" w:eastAsia="仿宋" w:cs="仿宋"/>
          <w:b w:val="0"/>
          <w:bCs/>
          <w:color w:val="auto"/>
          <w:sz w:val="24"/>
          <w:szCs w:val="24"/>
          <w:highlight w:val="none"/>
          <w:lang w:eastAsia="zh-CN"/>
        </w:rPr>
        <w:t>（仅限于通过银行的渠道进行转账，包括手机银行、网上银行、柜台转账等，拒收支付宝转账、微信转账、现金存款）</w:t>
      </w:r>
      <w:r>
        <w:rPr>
          <w:rFonts w:hint="eastAsia" w:ascii="仿宋" w:hAnsi="仿宋" w:eastAsia="仿宋" w:cs="仿宋"/>
          <w:b w:val="0"/>
          <w:bCs/>
          <w:color w:val="auto"/>
          <w:sz w:val="24"/>
          <w:szCs w:val="24"/>
          <w:highlight w:val="none"/>
        </w:rPr>
        <w:t>。</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（二）一份交易保证金只能参加一宗交易竞投。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（三）竞投人支付交易保证金的户名</w:t>
      </w:r>
      <w:r>
        <w:rPr>
          <w:rFonts w:hint="eastAsia" w:ascii="仿宋" w:hAnsi="仿宋" w:eastAsia="仿宋" w:cs="仿宋"/>
          <w:b w:val="0"/>
          <w:bCs/>
          <w:color w:val="auto"/>
          <w:sz w:val="24"/>
          <w:szCs w:val="24"/>
          <w:highlight w:val="none"/>
          <w:lang w:eastAsia="zh-CN"/>
        </w:rPr>
        <w:t>必须</w:t>
      </w:r>
      <w:r>
        <w:rPr>
          <w:rFonts w:hint="eastAsia" w:ascii="仿宋" w:hAnsi="仿宋" w:eastAsia="仿宋" w:cs="仿宋"/>
          <w:b w:val="0"/>
          <w:bCs/>
          <w:color w:val="auto"/>
          <w:sz w:val="24"/>
          <w:szCs w:val="24"/>
          <w:highlight w:val="none"/>
        </w:rPr>
        <w:t>与报名名称及实际参加竞投的竞投人名称</w:t>
      </w:r>
      <w:r>
        <w:rPr>
          <w:rFonts w:hint="eastAsia" w:ascii="仿宋" w:hAnsi="仿宋" w:eastAsia="仿宋" w:cs="仿宋"/>
          <w:b w:val="0"/>
          <w:bCs/>
          <w:color w:val="auto"/>
          <w:sz w:val="24"/>
          <w:szCs w:val="24"/>
          <w:highlight w:val="none"/>
          <w:lang w:eastAsia="zh-CN"/>
        </w:rPr>
        <w:t>一致</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否则</w:t>
      </w:r>
      <w:r>
        <w:rPr>
          <w:rFonts w:hint="eastAsia" w:ascii="仿宋" w:hAnsi="仿宋" w:eastAsia="仿宋" w:cs="仿宋"/>
          <w:b w:val="0"/>
          <w:bCs/>
          <w:color w:val="auto"/>
          <w:sz w:val="24"/>
          <w:szCs w:val="24"/>
          <w:highlight w:val="none"/>
        </w:rPr>
        <w:t>银行系统</w:t>
      </w:r>
      <w:r>
        <w:rPr>
          <w:rFonts w:hint="eastAsia" w:ascii="仿宋" w:hAnsi="仿宋" w:eastAsia="仿宋" w:cs="仿宋"/>
          <w:b w:val="0"/>
          <w:bCs/>
          <w:color w:val="auto"/>
          <w:sz w:val="24"/>
          <w:szCs w:val="24"/>
          <w:highlight w:val="none"/>
          <w:lang w:eastAsia="zh-CN"/>
        </w:rPr>
        <w:t>无法</w:t>
      </w:r>
      <w:r>
        <w:rPr>
          <w:rFonts w:hint="eastAsia" w:ascii="仿宋" w:hAnsi="仿宋" w:eastAsia="仿宋" w:cs="仿宋"/>
          <w:b w:val="0"/>
          <w:bCs/>
          <w:color w:val="auto"/>
          <w:sz w:val="24"/>
          <w:szCs w:val="24"/>
          <w:highlight w:val="none"/>
        </w:rPr>
        <w:t>匹配</w:t>
      </w:r>
      <w:r>
        <w:rPr>
          <w:rFonts w:hint="eastAsia" w:ascii="仿宋" w:hAnsi="仿宋" w:eastAsia="仿宋" w:cs="仿宋"/>
          <w:b w:val="0"/>
          <w:bCs/>
          <w:color w:val="auto"/>
          <w:sz w:val="24"/>
          <w:szCs w:val="24"/>
          <w:highlight w:val="none"/>
          <w:lang w:eastAsia="zh-CN"/>
        </w:rPr>
        <w:t>，银行系统匹配</w:t>
      </w:r>
      <w:r>
        <w:rPr>
          <w:rFonts w:hint="eastAsia" w:ascii="仿宋" w:hAnsi="仿宋" w:eastAsia="仿宋" w:cs="仿宋"/>
          <w:b w:val="0"/>
          <w:bCs/>
          <w:color w:val="auto"/>
          <w:sz w:val="24"/>
          <w:szCs w:val="24"/>
          <w:highlight w:val="none"/>
        </w:rPr>
        <w:t>不一致导致保证金无法到达指定帐号</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均无法完成</w:t>
      </w:r>
      <w:r>
        <w:rPr>
          <w:rFonts w:hint="eastAsia" w:ascii="仿宋" w:hAnsi="仿宋" w:eastAsia="仿宋" w:cs="仿宋"/>
          <w:b w:val="0"/>
          <w:bCs/>
          <w:color w:val="auto"/>
          <w:sz w:val="24"/>
          <w:szCs w:val="24"/>
          <w:highlight w:val="none"/>
        </w:rPr>
        <w:t>报名。</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（四）逾期未交纳交易保证金的，或交易保证金款项未在指定日期前到账的，均视为未按要求交纳交易保证金，</w:t>
      </w:r>
      <w:r>
        <w:rPr>
          <w:rFonts w:hint="eastAsia" w:ascii="仿宋" w:hAnsi="仿宋" w:eastAsia="仿宋" w:cs="仿宋"/>
          <w:b w:val="0"/>
          <w:bCs/>
          <w:color w:val="auto"/>
          <w:sz w:val="24"/>
          <w:szCs w:val="24"/>
          <w:highlight w:val="none"/>
          <w:lang w:eastAsia="zh-CN"/>
        </w:rPr>
        <w:t>均</w:t>
      </w:r>
      <w:r>
        <w:rPr>
          <w:rFonts w:hint="eastAsia" w:ascii="仿宋" w:hAnsi="仿宋" w:eastAsia="仿宋" w:cs="仿宋"/>
          <w:b w:val="0"/>
          <w:bCs/>
          <w:color w:val="auto"/>
          <w:sz w:val="24"/>
          <w:szCs w:val="24"/>
          <w:highlight w:val="none"/>
        </w:rPr>
        <w:t>无法</w:t>
      </w:r>
      <w:r>
        <w:rPr>
          <w:rFonts w:hint="eastAsia" w:ascii="仿宋" w:hAnsi="仿宋" w:eastAsia="仿宋" w:cs="仿宋"/>
          <w:b w:val="0"/>
          <w:bCs/>
          <w:color w:val="auto"/>
          <w:sz w:val="24"/>
          <w:szCs w:val="24"/>
          <w:highlight w:val="none"/>
          <w:lang w:eastAsia="zh-CN"/>
        </w:rPr>
        <w:t>完成</w:t>
      </w:r>
      <w:r>
        <w:rPr>
          <w:rFonts w:hint="eastAsia" w:ascii="仿宋" w:hAnsi="仿宋" w:eastAsia="仿宋" w:cs="仿宋"/>
          <w:b w:val="0"/>
          <w:bCs/>
          <w:color w:val="auto"/>
          <w:sz w:val="24"/>
          <w:szCs w:val="24"/>
          <w:highlight w:val="none"/>
        </w:rPr>
        <w:t>报名。                                         </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（五）竞投人需在交易系统报名界面正确填写具体的转账信息并上传转账凭证。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四、竞投人资格审核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（一）项目业主单位</w:t>
      </w:r>
      <w:r>
        <w:rPr>
          <w:rFonts w:hint="eastAsia" w:ascii="仿宋" w:hAnsi="仿宋" w:eastAsia="仿宋" w:cs="仿宋"/>
          <w:b/>
          <w:bCs/>
          <w:color w:val="auto"/>
          <w:sz w:val="24"/>
          <w:szCs w:val="24"/>
          <w:highlight w:val="none"/>
        </w:rPr>
        <w:t>无其他资质条件要求</w:t>
      </w:r>
      <w:r>
        <w:rPr>
          <w:rFonts w:hint="eastAsia" w:ascii="仿宋" w:hAnsi="仿宋" w:eastAsia="仿宋" w:cs="仿宋"/>
          <w:bCs/>
          <w:color w:val="auto"/>
          <w:sz w:val="24"/>
          <w:szCs w:val="24"/>
          <w:highlight w:val="none"/>
        </w:rPr>
        <w:t>的项目，竞投人需在</w:t>
      </w:r>
      <w:r>
        <w:rPr>
          <w:rFonts w:hint="eastAsia" w:ascii="仿宋" w:hAnsi="仿宋" w:eastAsia="仿宋" w:cs="仿宋"/>
          <w:bCs/>
          <w:color w:val="auto"/>
          <w:sz w:val="24"/>
          <w:szCs w:val="24"/>
          <w:highlight w:val="none"/>
          <w:lang w:eastAsia="zh-CN"/>
        </w:rPr>
        <w:t>报名界面中</w:t>
      </w:r>
      <w:r>
        <w:rPr>
          <w:rFonts w:hint="eastAsia" w:ascii="仿宋" w:hAnsi="仿宋" w:eastAsia="仿宋" w:cs="仿宋"/>
          <w:bCs/>
          <w:color w:val="auto"/>
          <w:sz w:val="24"/>
          <w:szCs w:val="24"/>
          <w:highlight w:val="none"/>
        </w:rPr>
        <w:t>正确填写转账信息</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上传转账凭证，</w:t>
      </w:r>
      <w:r>
        <w:rPr>
          <w:rFonts w:hint="eastAsia" w:ascii="仿宋" w:hAnsi="仿宋" w:eastAsia="仿宋" w:cs="仿宋"/>
          <w:bCs/>
          <w:color w:val="auto"/>
          <w:sz w:val="24"/>
          <w:szCs w:val="24"/>
          <w:highlight w:val="none"/>
          <w:lang w:eastAsia="zh-CN"/>
        </w:rPr>
        <w:t>完成报名流程</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（二）项目业主单位</w:t>
      </w:r>
      <w:r>
        <w:rPr>
          <w:rFonts w:hint="eastAsia" w:ascii="仿宋" w:hAnsi="仿宋" w:eastAsia="仿宋" w:cs="仿宋"/>
          <w:b/>
          <w:bCs/>
          <w:color w:val="auto"/>
          <w:sz w:val="24"/>
          <w:szCs w:val="24"/>
          <w:highlight w:val="none"/>
        </w:rPr>
        <w:t>有其他资质条件要求</w:t>
      </w:r>
      <w:r>
        <w:rPr>
          <w:rFonts w:hint="eastAsia" w:ascii="仿宋" w:hAnsi="仿宋" w:eastAsia="仿宋" w:cs="仿宋"/>
          <w:bCs/>
          <w:color w:val="auto"/>
          <w:sz w:val="24"/>
          <w:szCs w:val="24"/>
          <w:highlight w:val="none"/>
        </w:rPr>
        <w:t>的项目，竞投人需</w:t>
      </w:r>
      <w:r>
        <w:rPr>
          <w:rFonts w:hint="eastAsia" w:ascii="仿宋" w:hAnsi="仿宋" w:eastAsia="仿宋" w:cs="仿宋"/>
          <w:bCs/>
          <w:color w:val="auto"/>
          <w:sz w:val="24"/>
          <w:szCs w:val="24"/>
          <w:highlight w:val="none"/>
          <w:lang w:eastAsia="zh-CN"/>
        </w:rPr>
        <w:t>在报名界面中正确填写转账信息，上传转账凭证及其他资质条件要求的相应资料，等待审核，并在</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rPr>
        <w:t>的周一至周五上午9:00--12:00，下午1:00--5:00（法定节假日除外）携带</w:t>
      </w:r>
      <w:r>
        <w:rPr>
          <w:rFonts w:hint="eastAsia" w:ascii="仿宋" w:hAnsi="仿宋" w:eastAsia="仿宋" w:cs="仿宋"/>
          <w:color w:val="auto"/>
          <w:sz w:val="24"/>
          <w:szCs w:val="24"/>
          <w:highlight w:val="none"/>
          <w:lang w:eastAsia="zh-CN"/>
        </w:rPr>
        <w:t>项目业主单位要求提交的所有</w:t>
      </w:r>
      <w:r>
        <w:rPr>
          <w:rFonts w:hint="eastAsia" w:ascii="仿宋" w:hAnsi="仿宋" w:eastAsia="仿宋" w:cs="仿宋"/>
          <w:color w:val="auto"/>
          <w:sz w:val="24"/>
          <w:szCs w:val="24"/>
          <w:highlight w:val="none"/>
        </w:rPr>
        <w:t>资料前往</w:t>
      </w:r>
      <w:r>
        <w:rPr>
          <w:rFonts w:hint="eastAsia" w:ascii="仿宋" w:hAnsi="仿宋" w:eastAsia="仿宋" w:cs="仿宋"/>
          <w:color w:val="auto"/>
          <w:sz w:val="24"/>
          <w:szCs w:val="24"/>
          <w:highlight w:val="none"/>
          <w:lang w:eastAsia="zh-CN"/>
        </w:rPr>
        <w:t>天河区农村集体资产</w:t>
      </w:r>
      <w:r>
        <w:rPr>
          <w:rFonts w:hint="eastAsia" w:ascii="仿宋" w:hAnsi="仿宋" w:eastAsia="仿宋" w:cs="仿宋"/>
          <w:color w:val="auto"/>
          <w:sz w:val="24"/>
          <w:szCs w:val="24"/>
          <w:highlight w:val="none"/>
        </w:rPr>
        <w:t>交易中心进行审核</w:t>
      </w:r>
      <w:r>
        <w:rPr>
          <w:rFonts w:hint="eastAsia" w:ascii="仿宋" w:hAnsi="仿宋" w:eastAsia="仿宋" w:cs="仿宋"/>
          <w:color w:val="auto"/>
          <w:sz w:val="24"/>
          <w:szCs w:val="24"/>
          <w:highlight w:val="none"/>
          <w:lang w:eastAsia="zh-CN"/>
        </w:rPr>
        <w:t>，资料审核无误后，审核通过，报名成功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（注：需提交的相关资料详见“第一部分</w:t>
      </w:r>
      <w:r>
        <w:rPr>
          <w:rFonts w:hint="eastAsia" w:ascii="仿宋" w:hAnsi="仿宋" w:eastAsia="仿宋" w:cs="仿宋"/>
          <w:color w:val="auto"/>
          <w:sz w:val="24"/>
          <w:szCs w:val="24"/>
          <w:highlight w:val="none"/>
          <w:lang w:val="en-US" w:eastAsia="zh-CN"/>
        </w:rPr>
        <w:t xml:space="preserve"> 竞投邀请函</w:t>
      </w:r>
      <w:r>
        <w:rPr>
          <w:rFonts w:hint="eastAsia" w:ascii="仿宋" w:hAnsi="仿宋" w:eastAsia="仿宋" w:cs="仿宋"/>
          <w:color w:val="auto"/>
          <w:sz w:val="24"/>
          <w:szCs w:val="24"/>
          <w:highlight w:val="none"/>
          <w:lang w:eastAsia="zh-CN"/>
        </w:rPr>
        <w:t>”第四点）</w:t>
      </w:r>
    </w:p>
    <w:p>
      <w:pPr>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五、竞得人</w:t>
      </w:r>
      <w:r>
        <w:rPr>
          <w:rFonts w:hint="eastAsia" w:ascii="仿宋" w:hAnsi="仿宋" w:eastAsia="仿宋" w:cs="仿宋"/>
          <w:b/>
          <w:color w:val="auto"/>
          <w:sz w:val="24"/>
          <w:szCs w:val="24"/>
          <w:highlight w:val="none"/>
          <w:lang w:eastAsia="zh-CN"/>
        </w:rPr>
        <w:t>交易确认</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竞投人成功竞得的，需在竞得后2个工作日内</w:t>
      </w:r>
      <w:r>
        <w:rPr>
          <w:rFonts w:hint="eastAsia" w:ascii="仿宋" w:hAnsi="仿宋" w:eastAsia="仿宋" w:cs="仿宋"/>
          <w:bCs/>
          <w:color w:val="auto"/>
          <w:sz w:val="24"/>
          <w:szCs w:val="24"/>
          <w:highlight w:val="none"/>
          <w:lang w:eastAsia="zh-CN"/>
        </w:rPr>
        <w:t>携</w:t>
      </w:r>
      <w:r>
        <w:rPr>
          <w:rFonts w:hint="eastAsia" w:ascii="仿宋" w:hAnsi="仿宋" w:eastAsia="仿宋" w:cs="仿宋"/>
          <w:bCs/>
          <w:color w:val="auto"/>
          <w:sz w:val="24"/>
          <w:szCs w:val="24"/>
          <w:highlight w:val="none"/>
        </w:rPr>
        <w:t>带相关资料到</w:t>
      </w:r>
      <w:r>
        <w:rPr>
          <w:rFonts w:hint="eastAsia" w:ascii="仿宋" w:hAnsi="仿宋" w:eastAsia="仿宋" w:cs="仿宋"/>
          <w:bCs/>
          <w:color w:val="auto"/>
          <w:sz w:val="24"/>
          <w:szCs w:val="24"/>
          <w:highlight w:val="none"/>
          <w:lang w:eastAsia="zh-CN"/>
        </w:rPr>
        <w:t>天河区农村集体资产交易中心</w:t>
      </w:r>
      <w:r>
        <w:rPr>
          <w:rFonts w:hint="eastAsia" w:ascii="仿宋" w:hAnsi="仿宋" w:eastAsia="仿宋" w:cs="仿宋"/>
          <w:bCs/>
          <w:color w:val="auto"/>
          <w:sz w:val="24"/>
          <w:szCs w:val="24"/>
          <w:highlight w:val="none"/>
        </w:rPr>
        <w:t>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w:t>
      </w:r>
      <w:r>
        <w:rPr>
          <w:rFonts w:hint="eastAsia" w:ascii="仿宋" w:hAnsi="仿宋" w:eastAsia="仿宋" w:cs="仿宋"/>
          <w:bCs/>
          <w:color w:val="auto"/>
          <w:sz w:val="24"/>
          <w:szCs w:val="24"/>
          <w:highlight w:val="none"/>
          <w:lang w:eastAsia="zh-CN"/>
        </w:rPr>
        <w:t>及广州市天河区农村集体资产交易确认书</w:t>
      </w:r>
      <w:r>
        <w:rPr>
          <w:rFonts w:hint="eastAsia" w:ascii="仿宋" w:hAnsi="仿宋" w:eastAsia="仿宋" w:cs="仿宋"/>
          <w:bCs/>
          <w:color w:val="auto"/>
          <w:sz w:val="24"/>
          <w:szCs w:val="24"/>
          <w:highlight w:val="none"/>
        </w:rPr>
        <w:t>，受理时间：周一至周五上午9:00--12:00，下午1:00--5:00（法定节假日除外），未在规定时间内携带相关资料到天河区农村集体资产交易中心签订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网上交易平台服务协议及</w:t>
      </w:r>
      <w:r>
        <w:rPr>
          <w:rFonts w:hint="eastAsia" w:ascii="仿宋" w:hAnsi="仿宋" w:eastAsia="仿宋" w:cs="仿宋"/>
          <w:bCs/>
          <w:color w:val="auto"/>
          <w:sz w:val="24"/>
          <w:szCs w:val="24"/>
          <w:highlight w:val="none"/>
          <w:lang w:eastAsia="zh-CN"/>
        </w:rPr>
        <w:t>广州市天河区农村集体资产</w:t>
      </w:r>
      <w:r>
        <w:rPr>
          <w:rFonts w:hint="eastAsia" w:ascii="仿宋" w:hAnsi="仿宋" w:eastAsia="仿宋" w:cs="仿宋"/>
          <w:bCs/>
          <w:color w:val="auto"/>
          <w:sz w:val="24"/>
          <w:szCs w:val="24"/>
          <w:highlight w:val="none"/>
        </w:rPr>
        <w:t>交易确认书的视为自动放弃竞得资格，交易保证金由天河区农村集体资产交易中心一次性全额不计息转交给项目业主单位，由项目业主单位予以</w:t>
      </w:r>
      <w:r>
        <w:rPr>
          <w:rFonts w:hint="eastAsia" w:ascii="仿宋" w:hAnsi="仿宋" w:eastAsia="仿宋" w:cs="仿宋"/>
          <w:bCs/>
          <w:color w:val="auto"/>
          <w:sz w:val="24"/>
          <w:szCs w:val="24"/>
          <w:highlight w:val="none"/>
          <w:lang w:eastAsia="zh-CN"/>
        </w:rPr>
        <w:t>没收</w:t>
      </w:r>
      <w:r>
        <w:rPr>
          <w:rFonts w:hint="eastAsia" w:ascii="仿宋" w:hAnsi="仿宋" w:eastAsia="仿宋" w:cs="仿宋"/>
          <w:bCs/>
          <w:color w:val="auto"/>
          <w:sz w:val="24"/>
          <w:szCs w:val="24"/>
          <w:highlight w:val="none"/>
        </w:rPr>
        <w:t>处理。竞得人凭广州市天河区农村集体资产交易确认书在规定时间内与项目业主单位签订合同。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项目业主单位无其他资质条件要求的项目</w:t>
      </w:r>
      <w:r>
        <w:rPr>
          <w:rFonts w:hint="eastAsia" w:ascii="仿宋" w:hAnsi="仿宋" w:eastAsia="仿宋" w:cs="仿宋"/>
          <w:bCs/>
          <w:color w:val="auto"/>
          <w:sz w:val="24"/>
          <w:szCs w:val="24"/>
          <w:highlight w:val="none"/>
          <w:lang w:eastAsia="zh-CN"/>
        </w:rPr>
        <w:t>需提交以下相应资料：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法人单位须提供加盖公章的单位营业执照及法定代表人居民身份证复印件（原件备查）；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非法人企业须提供加盖公章的单位营业执照及负责人（投资人）居民身份证复印件（原件备查）；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工商登记注册的个体户须提供有效营业执照复印件及个体户负责人居民身份证复印件（原件备查）；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完全民事行为能力的自然人须提供居民身份证复印件（原件备查）。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项目业主单位有其他资质条件要求的项目需携带以下相应资料：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1、法人单位提供营业执照及法定代表人居民身份证原件；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2、非法人企业提供营业执照及负责人（投资人）居民身份证原件；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3、工商登记注册的个体户提供有效营业执照及个体户负责人居民身份证原件；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（三）竞投人授权委托他人签订纸质网上交易平台服务协议及广州市天河区农村集体资产交易确认书，受委托人须提交以下相应资料：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1.法人机构的法定代表人授权的受委托人须提供授权委托书原件（加盖公章）及受委托人居民身份证复印件（原件备查）；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2、非法人企业的负责人（投资人）授权的受委托人须提供授权委托书原件（加盖公章）及受委托人居民身份证复印件（原件备查）；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3.工商登记注册的个体户负责人授权的受委托人须提供授权委托书原件（摁委托人手印）及受委托人居民身份证复印件（原件备查）；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4.完全民事行为能力的自然人授权的受委托人须提供授权委托书原件（摁委托人手印）及受委托人居民身份证复印件（原件备查）。</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numPr>
          <w:ilvl w:val="0"/>
          <w:numId w:val="0"/>
        </w:num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网上交易规则</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）本次交易只有一个竞投人的，成交价不得低于底价。有两个以上竞投人的按照价高者得的原则成交，报名成功的竞投人，</w:t>
      </w:r>
      <w:r>
        <w:rPr>
          <w:rFonts w:hint="eastAsia" w:ascii="仿宋" w:hAnsi="仿宋" w:eastAsia="仿宋" w:cs="仿宋"/>
          <w:bCs/>
          <w:color w:val="auto"/>
          <w:sz w:val="24"/>
          <w:szCs w:val="24"/>
          <w:highlight w:val="none"/>
          <w:lang w:eastAsia="zh-CN"/>
        </w:rPr>
        <w:t>按照本项目交易规则进</w:t>
      </w:r>
      <w:r>
        <w:rPr>
          <w:rFonts w:hint="eastAsia" w:ascii="仿宋" w:hAnsi="仿宋" w:eastAsia="仿宋" w:cs="仿宋"/>
          <w:bCs/>
          <w:color w:val="auto"/>
          <w:sz w:val="24"/>
          <w:szCs w:val="24"/>
          <w:highlight w:val="none"/>
          <w:lang w:val="en-US" w:eastAsia="zh-CN"/>
        </w:rPr>
        <w:t>行报价，第一位竞投人点击出价并确认，系统则默认为交易底价，从第二位竞投人开始点击出价并确认，系统则按</w:t>
      </w:r>
      <w:r>
        <w:rPr>
          <w:rFonts w:hint="eastAsia" w:ascii="仿宋" w:hAnsi="仿宋" w:eastAsia="仿宋" w:cs="仿宋"/>
          <w:bCs/>
          <w:color w:val="auto"/>
          <w:sz w:val="24"/>
          <w:szCs w:val="24"/>
          <w:highlight w:val="none"/>
        </w:rPr>
        <w:t>自然递增价出价</w:t>
      </w:r>
      <w:r>
        <w:rPr>
          <w:rFonts w:hint="eastAsia" w:ascii="仿宋" w:hAnsi="仿宋" w:eastAsia="仿宋" w:cs="仿宋"/>
          <w:bCs/>
          <w:color w:val="auto"/>
          <w:sz w:val="24"/>
          <w:szCs w:val="24"/>
          <w:highlight w:val="none"/>
          <w:lang w:eastAsia="zh-CN"/>
        </w:rPr>
        <w:t>，竞投人也可报出</w:t>
      </w:r>
      <w:r>
        <w:rPr>
          <w:rFonts w:hint="eastAsia" w:ascii="仿宋" w:hAnsi="仿宋" w:eastAsia="仿宋" w:cs="仿宋"/>
          <w:bCs/>
          <w:color w:val="auto"/>
          <w:sz w:val="24"/>
          <w:szCs w:val="24"/>
          <w:highlight w:val="none"/>
        </w:rPr>
        <w:t>高于自然递增价的整数</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w:t>
      </w:r>
      <w:r>
        <w:rPr>
          <w:rFonts w:hint="eastAsia" w:ascii="仿宋" w:hAnsi="仿宋" w:eastAsia="仿宋" w:cs="仿宋"/>
          <w:bCs/>
          <w:color w:val="auto"/>
          <w:sz w:val="24"/>
          <w:szCs w:val="24"/>
          <w:highlight w:val="none"/>
          <w:lang w:val="en-US" w:eastAsia="zh-CN"/>
        </w:rPr>
        <w:t>每次加价金额不等高于</w:t>
      </w:r>
      <w:r>
        <w:rPr>
          <w:rFonts w:hint="eastAsia" w:ascii="仿宋" w:hAnsi="仿宋" w:eastAsia="仿宋" w:cs="仿宋"/>
          <w:sz w:val="24"/>
          <w:szCs w:val="24"/>
          <w:highlight w:val="none"/>
          <w:u w:val="single"/>
          <w:lang w:val="en-US" w:eastAsia="zh-CN"/>
        </w:rPr>
        <w:t>500元/年</w:t>
      </w:r>
      <w:r>
        <w:rPr>
          <w:rFonts w:hint="eastAsia" w:ascii="仿宋" w:hAnsi="仿宋" w:eastAsia="仿宋" w:cs="仿宋"/>
          <w:sz w:val="24"/>
          <w:szCs w:val="24"/>
          <w:highlight w:val="none"/>
          <w:u w:val="none"/>
          <w:lang w:val="en-US" w:eastAsia="zh-CN"/>
        </w:rPr>
        <w:t>。</w:t>
      </w:r>
      <w:r>
        <w:rPr>
          <w:rFonts w:hint="eastAsia" w:ascii="仿宋" w:hAnsi="仿宋" w:eastAsia="仿宋" w:cs="仿宋"/>
          <w:bCs/>
          <w:color w:val="auto"/>
          <w:sz w:val="24"/>
          <w:szCs w:val="24"/>
          <w:highlight w:val="none"/>
          <w:lang w:eastAsia="zh-CN"/>
        </w:rPr>
        <w:t>请竞投人在出价前认真核对出价金额，</w:t>
      </w:r>
      <w:r>
        <w:rPr>
          <w:rFonts w:hint="eastAsia" w:ascii="仿宋" w:hAnsi="仿宋" w:eastAsia="仿宋" w:cs="仿宋"/>
          <w:bCs/>
          <w:color w:val="auto"/>
          <w:sz w:val="24"/>
          <w:szCs w:val="24"/>
          <w:highlight w:val="none"/>
        </w:rPr>
        <w:t>一旦出价，不予撤销。</w:t>
      </w:r>
    </w:p>
    <w:p>
      <w:pPr>
        <w:spacing w:line="4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）本次交易</w:t>
      </w:r>
      <w:r>
        <w:rPr>
          <w:rFonts w:hint="eastAsia" w:ascii="仿宋" w:hAnsi="仿宋" w:eastAsia="仿宋" w:cs="仿宋"/>
          <w:bCs/>
          <w:color w:val="auto"/>
          <w:sz w:val="24"/>
          <w:szCs w:val="24"/>
          <w:highlight w:val="none"/>
          <w:lang w:eastAsia="zh-CN"/>
        </w:rPr>
        <w:t>没有给予优先权安排。</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）本项目竞投</w:t>
      </w:r>
      <w:r>
        <w:rPr>
          <w:rFonts w:hint="eastAsia" w:ascii="仿宋" w:hAnsi="仿宋" w:eastAsia="仿宋" w:cs="仿宋"/>
          <w:bCs/>
          <w:color w:val="auto"/>
          <w:sz w:val="24"/>
          <w:szCs w:val="24"/>
          <w:highlight w:val="none"/>
          <w:lang w:eastAsia="zh-CN"/>
        </w:rPr>
        <w:t>初始</w:t>
      </w:r>
      <w:r>
        <w:rPr>
          <w:rFonts w:hint="eastAsia" w:ascii="仿宋" w:hAnsi="仿宋" w:eastAsia="仿宋" w:cs="仿宋"/>
          <w:bCs/>
          <w:color w:val="auto"/>
          <w:sz w:val="24"/>
          <w:szCs w:val="24"/>
          <w:highlight w:val="none"/>
        </w:rPr>
        <w:t>出价时长为60分钟，如有竞投人在竞投结束时间前3分钟内</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价，系统自动将出价时长顺延3分钟，等待下一次出价，以此类推，直至无人</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价，以最后</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价作为成交价。</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）竞投人未成功竞得的，在该项目交易结果公示结束后5个工作日内一次性全额不计息按原账号返还。竞投人成功竞得的，交易保证金</w:t>
      </w:r>
      <w:r>
        <w:rPr>
          <w:rFonts w:hint="eastAsia" w:ascii="仿宋" w:hAnsi="仿宋" w:eastAsia="仿宋" w:cs="仿宋"/>
          <w:color w:val="auto"/>
          <w:sz w:val="24"/>
          <w:szCs w:val="24"/>
          <w:highlight w:val="none"/>
        </w:rPr>
        <w:t>在合同签订后5个工作日内一次性全额不计利息返还，或者</w:t>
      </w:r>
      <w:r>
        <w:rPr>
          <w:rFonts w:hint="eastAsia" w:ascii="仿宋" w:hAnsi="仿宋" w:eastAsia="仿宋" w:cs="仿宋"/>
          <w:bCs/>
          <w:color w:val="auto"/>
          <w:sz w:val="24"/>
          <w:szCs w:val="24"/>
          <w:highlight w:val="none"/>
        </w:rPr>
        <w:t>按公告约定转为合同履约保证金；</w:t>
      </w:r>
      <w:bookmarkEnd w:id="25"/>
      <w:bookmarkEnd w:id="26"/>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）竞投结束</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交易结果将在广州市天河区农村集体资产管理平台、天河区信息网等信息平台进行公示，项目业主单位还应当在其信息公开栏（“三公开”栏）、标的物所在地等处发布交易结果公示。公示时间不得少于5个工作日。</w:t>
      </w:r>
      <w:r>
        <w:rPr>
          <w:rFonts w:hint="eastAsia" w:ascii="仿宋" w:hAnsi="仿宋" w:eastAsia="仿宋" w:cs="仿宋"/>
          <w:color w:val="auto"/>
          <w:sz w:val="24"/>
          <w:szCs w:val="24"/>
          <w:highlight w:val="none"/>
          <w:lang w:eastAsia="zh-CN"/>
        </w:rPr>
        <w:t>公示期间如对交易程序或结果提出异议的，可</w:t>
      </w:r>
      <w:r>
        <w:rPr>
          <w:rFonts w:hint="eastAsia" w:ascii="仿宋" w:hAnsi="仿宋" w:eastAsia="仿宋" w:cs="仿宋"/>
          <w:color w:val="auto"/>
          <w:sz w:val="24"/>
          <w:szCs w:val="24"/>
          <w:highlight w:val="none"/>
        </w:rPr>
        <w:t>以书面形式向区农业农村局、街道办事处或纪检监察部门提出质疑</w:t>
      </w:r>
      <w:r>
        <w:rPr>
          <w:rFonts w:hint="eastAsia" w:ascii="仿宋" w:hAnsi="仿宋" w:eastAsia="仿宋" w:cs="仿宋"/>
          <w:color w:val="auto"/>
          <w:sz w:val="24"/>
          <w:szCs w:val="24"/>
          <w:highlight w:val="none"/>
          <w:lang w:eastAsia="zh-CN"/>
        </w:rPr>
        <w:t>。</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七</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竞投结果公示结束后5个工作日内，项目业主单位和竞得人应当到交易服务机构指定的场所签订合同，</w:t>
      </w:r>
      <w:r>
        <w:rPr>
          <w:rFonts w:hint="eastAsia" w:ascii="仿宋" w:hAnsi="仿宋" w:eastAsia="仿宋" w:cs="仿宋"/>
          <w:color w:val="auto"/>
          <w:sz w:val="24"/>
          <w:szCs w:val="24"/>
          <w:highlight w:val="none"/>
          <w:lang w:eastAsia="zh-CN"/>
        </w:rPr>
        <w:t>未能在规定时间内签订合同的</w:t>
      </w:r>
      <w:r>
        <w:rPr>
          <w:rFonts w:hint="eastAsia" w:ascii="仿宋" w:hAnsi="仿宋" w:eastAsia="仿宋" w:cs="仿宋"/>
          <w:color w:val="auto"/>
          <w:sz w:val="24"/>
          <w:szCs w:val="24"/>
          <w:highlight w:val="none"/>
        </w:rPr>
        <w:t>，项目业主单位和竞得人达成一致意见，</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由项目业主</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向交易管理机构提</w:t>
      </w:r>
      <w:r>
        <w:rPr>
          <w:rFonts w:hint="eastAsia" w:ascii="仿宋" w:hAnsi="仿宋" w:eastAsia="仿宋" w:cs="仿宋"/>
          <w:color w:val="auto"/>
          <w:sz w:val="24"/>
          <w:szCs w:val="24"/>
          <w:highlight w:val="none"/>
          <w:lang w:eastAsia="zh-CN"/>
        </w:rPr>
        <w:t>出</w:t>
      </w:r>
      <w:r>
        <w:rPr>
          <w:rFonts w:hint="eastAsia" w:ascii="仿宋" w:hAnsi="仿宋" w:eastAsia="仿宋" w:cs="仿宋"/>
          <w:color w:val="auto"/>
          <w:sz w:val="24"/>
          <w:szCs w:val="24"/>
          <w:highlight w:val="none"/>
        </w:rPr>
        <w:t>合同延期签订申请，经所属经济联社、街道交易管理机构审核通过</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，方可延期签订合同。</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（八）竞投结果公示结束后</w:t>
      </w:r>
      <w:r>
        <w:rPr>
          <w:rFonts w:hint="eastAsia" w:ascii="仿宋" w:hAnsi="仿宋" w:eastAsia="仿宋" w:cs="仿宋"/>
          <w:color w:val="auto"/>
          <w:sz w:val="24"/>
          <w:szCs w:val="24"/>
          <w:highlight w:val="none"/>
          <w:lang w:val="en-US" w:eastAsia="zh-CN"/>
        </w:rPr>
        <w:t>5个工作日内，因竞得人原因，未与项目业主单位签订合同的，视为放弃竞得资格，交易保证金由交易服务机构一次性全额不计息全额转交给项目业主单位，由项目业主单位予以没收处理。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（九）</w:t>
      </w:r>
      <w:r>
        <w:rPr>
          <w:rFonts w:hint="eastAsia" w:ascii="仿宋" w:hAnsi="仿宋" w:eastAsia="仿宋" w:cs="仿宋"/>
          <w:b/>
          <w:bCs w:val="0"/>
          <w:color w:val="auto"/>
          <w:sz w:val="24"/>
          <w:szCs w:val="24"/>
          <w:highlight w:val="none"/>
        </w:rPr>
        <w:t>在全区范围内，竞投人或承租（承包）人存在以下情形之一的，列入天河区农村集体资产交易信用评价黑名单：</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1.一年内累计5次不进场交易的；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2.一年内累计5次进场交易但不报价的；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3.扰乱交易秩序，影响交易正常进行的；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4.竞投人有弄虚作假、串通竞投、行贿、敲诈勒索、威胁他人行为的；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5.在竞得成功后，2个工作日内无正当理由不提交相关纸质资料的；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6.在竞得成功后，无正当理由推翻成交价或拒绝签订合同的；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7.履约过程中，未经农村集体同意，累计3次未按照合同约定交纳租金（承包金）的；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8.合同到期后，未按照合同约定交还标的物的；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.其他违背诚实信用原则的行为。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被列入天河区农村集体资产交易信用评价黑名单的竞投人或承租（承包）人，管理平台交易系统3年内（含3年）</w:t>
      </w:r>
      <w:r>
        <w:rPr>
          <w:rFonts w:hint="eastAsia" w:ascii="仿宋" w:hAnsi="仿宋" w:eastAsia="仿宋" w:cs="仿宋"/>
          <w:b/>
          <w:color w:val="auto"/>
          <w:sz w:val="24"/>
          <w:szCs w:val="24"/>
          <w:highlight w:val="none"/>
        </w:rPr>
        <w:t>禁止</w:t>
      </w:r>
      <w:r>
        <w:rPr>
          <w:rFonts w:hint="eastAsia" w:ascii="仿宋" w:hAnsi="仿宋" w:eastAsia="仿宋" w:cs="仿宋"/>
          <w:color w:val="auto"/>
          <w:sz w:val="24"/>
          <w:szCs w:val="24"/>
          <w:highlight w:val="none"/>
        </w:rPr>
        <w:t>参与竞投。</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w:t>
      </w:r>
      <w:r>
        <w:rPr>
          <w:rFonts w:hint="eastAsia" w:ascii="仿宋" w:hAnsi="仿宋" w:eastAsia="仿宋" w:cs="仿宋"/>
          <w:bCs/>
          <w:color w:val="auto"/>
          <w:sz w:val="24"/>
          <w:szCs w:val="24"/>
          <w:highlight w:val="none"/>
        </w:rPr>
        <w:t>农村集体资产进行网上交易时，项目业主单位应派出监督小组登录广州市天河区农村集体资产管理平台http://szjy.thnet.gov.cn/</w:t>
      </w:r>
      <w:r>
        <w:rPr>
          <w:rFonts w:hint="eastAsia" w:ascii="仿宋" w:hAnsi="仿宋" w:eastAsia="仿宋" w:cs="仿宋"/>
          <w:color w:val="auto"/>
          <w:sz w:val="24"/>
          <w:szCs w:val="24"/>
          <w:highlight w:val="none"/>
        </w:rPr>
        <w:t>的【网上竞投】模块内每个项目的展示窗</w:t>
      </w:r>
      <w:r>
        <w:rPr>
          <w:rFonts w:hint="eastAsia" w:ascii="仿宋" w:hAnsi="仿宋" w:eastAsia="仿宋" w:cs="仿宋"/>
          <w:bCs/>
          <w:color w:val="auto"/>
          <w:sz w:val="24"/>
          <w:szCs w:val="24"/>
          <w:highlight w:val="none"/>
        </w:rPr>
        <w:t>见证监督。监督小组人数在4名以上，成员由村领导班子成员或经济社理事会、监事会及街道交易管理机构、廉情监察站成员组成。</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（十一）</w:t>
      </w:r>
      <w:r>
        <w:rPr>
          <w:rFonts w:hint="eastAsia" w:ascii="仿宋" w:hAnsi="仿宋" w:eastAsia="仿宋" w:cs="仿宋"/>
          <w:bCs/>
          <w:color w:val="auto"/>
          <w:sz w:val="24"/>
          <w:szCs w:val="24"/>
          <w:highlight w:val="none"/>
        </w:rPr>
        <w:t>交易关系利害人对交易过程或结果有异议的，可向区农业农村局、街道办事处或纪检监察部门进行投诉。</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（十二）</w:t>
      </w:r>
      <w:r>
        <w:rPr>
          <w:rFonts w:hint="eastAsia" w:ascii="仿宋" w:hAnsi="仿宋" w:eastAsia="仿宋" w:cs="仿宋"/>
          <w:bCs/>
          <w:color w:val="auto"/>
          <w:sz w:val="24"/>
          <w:szCs w:val="24"/>
          <w:highlight w:val="none"/>
        </w:rPr>
        <w:t>在农村集体资产交易合同履行过程中，发生纠纷的，可依据合同约定途径解决，没有约定的，可依法向天河区人民法院提起诉讼。</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（十三）</w:t>
      </w:r>
      <w:r>
        <w:rPr>
          <w:rFonts w:hint="eastAsia" w:ascii="仿宋" w:hAnsi="仿宋" w:eastAsia="仿宋" w:cs="仿宋"/>
          <w:color w:val="auto"/>
          <w:sz w:val="24"/>
          <w:szCs w:val="24"/>
          <w:highlight w:val="none"/>
        </w:rPr>
        <w:t>天河区农村集体资产交易规则依据《天河区农村集体资产交易管理实施细则》制定，遵循民主决策、平等自愿、诚实守信、公开、公平、公正的原则。</w:t>
      </w:r>
      <w:bookmarkStart w:id="27" w:name="q6"/>
      <w:bookmarkEnd w:id="27"/>
      <w:bookmarkStart w:id="28" w:name="q5"/>
      <w:bookmarkEnd w:id="28"/>
      <w:bookmarkStart w:id="29" w:name="_Toc391912303"/>
      <w:bookmarkStart w:id="30" w:name="_Toc391912326"/>
    </w:p>
    <w:bookmarkEnd w:id="29"/>
    <w:bookmarkEnd w:id="30"/>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center"/>
        <w:rPr>
          <w:rFonts w:hint="eastAsia" w:ascii="宋体" w:hAnsi="宋体" w:eastAsia="宋体" w:cs="宋体"/>
          <w:bCs/>
          <w:spacing w:val="40"/>
          <w:sz w:val="32"/>
          <w:szCs w:val="32"/>
          <w:highlight w:val="none"/>
        </w:rPr>
      </w:pPr>
      <w:r>
        <w:rPr>
          <w:rFonts w:hint="eastAsia" w:ascii="宋体" w:hAnsi="宋体" w:eastAsia="宋体" w:cs="宋体"/>
          <w:b/>
          <w:bCs/>
          <w:sz w:val="32"/>
          <w:szCs w:val="32"/>
          <w:highlight w:val="none"/>
        </w:rPr>
        <w:t>第四部分 合同要求</w:t>
      </w:r>
    </w:p>
    <w:p>
      <w:pPr>
        <w:pStyle w:val="99"/>
        <w:keepNext w:val="0"/>
        <w:spacing w:line="44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一、合同要点</w:t>
      </w:r>
    </w:p>
    <w:p>
      <w:pPr>
        <w:pStyle w:val="99"/>
        <w:keepNext w:val="0"/>
        <w:spacing w:line="440" w:lineRule="exact"/>
        <w:ind w:firstLine="480" w:firstLineChars="20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（一）竞得人应在竞投结果公示期满后</w:t>
      </w:r>
      <w:r>
        <w:rPr>
          <w:rFonts w:hint="eastAsia" w:ascii="仿宋" w:hAnsi="仿宋" w:eastAsia="仿宋" w:cs="仿宋"/>
          <w:b w:val="0"/>
          <w:color w:val="auto"/>
          <w:sz w:val="24"/>
          <w:szCs w:val="24"/>
          <w:highlight w:val="none"/>
          <w:u w:val="single"/>
        </w:rPr>
        <w:t xml:space="preserve"> 5</w:t>
      </w:r>
      <w:r>
        <w:rPr>
          <w:rFonts w:hint="eastAsia" w:ascii="仿宋" w:hAnsi="仿宋" w:eastAsia="仿宋" w:cs="仿宋"/>
          <w:b w:val="0"/>
          <w:color w:val="auto"/>
          <w:sz w:val="24"/>
          <w:szCs w:val="24"/>
          <w:highlight w:val="none"/>
        </w:rPr>
        <w:t>个工作日内与出租方签订合同；</w:t>
      </w:r>
    </w:p>
    <w:p>
      <w:pPr>
        <w:pStyle w:val="99"/>
        <w:keepNext w:val="0"/>
        <w:keepLines w:val="0"/>
        <w:pageBreakBefore w:val="0"/>
        <w:kinsoku/>
        <w:overflowPunct/>
        <w:topLinePunct w:val="0"/>
        <w:autoSpaceDE/>
        <w:autoSpaceDN/>
        <w:bidi w:val="0"/>
        <w:snapToGrid/>
        <w:spacing w:line="460" w:lineRule="exact"/>
        <w:ind w:firstLine="480" w:firstLineChars="200"/>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（二）合同履约保证金：在本合同签订</w:t>
      </w:r>
      <w:r>
        <w:rPr>
          <w:rFonts w:hint="eastAsia" w:ascii="仿宋" w:hAnsi="仿宋" w:eastAsia="仿宋" w:cs="仿宋"/>
          <w:b w:val="0"/>
          <w:color w:val="auto"/>
          <w:sz w:val="24"/>
          <w:szCs w:val="24"/>
          <w:highlight w:val="none"/>
          <w:u w:val="none"/>
          <w:lang w:eastAsia="zh-CN"/>
        </w:rPr>
        <w:t>前</w:t>
      </w:r>
      <w:r>
        <w:rPr>
          <w:rFonts w:hint="eastAsia" w:ascii="仿宋" w:hAnsi="仿宋" w:eastAsia="仿宋" w:cs="仿宋"/>
          <w:b w:val="0"/>
          <w:color w:val="auto"/>
          <w:sz w:val="24"/>
          <w:szCs w:val="24"/>
          <w:highlight w:val="none"/>
        </w:rPr>
        <w:t>，乙方须一次性向甲方交纳人民</w:t>
      </w:r>
      <w:r>
        <w:rPr>
          <w:rFonts w:hint="eastAsia" w:ascii="仿宋" w:hAnsi="仿宋" w:eastAsia="仿宋" w:cs="仿宋"/>
          <w:b w:val="0"/>
          <w:color w:val="auto"/>
          <w:sz w:val="24"/>
          <w:szCs w:val="24"/>
          <w:highlight w:val="none"/>
          <w:u w:val="single"/>
        </w:rPr>
        <w:t xml:space="preserve"> 3000</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rPr>
        <w:t>元(大写:</w:t>
      </w:r>
      <w:r>
        <w:rPr>
          <w:rFonts w:hint="eastAsia" w:ascii="仿宋" w:hAnsi="仿宋" w:eastAsia="仿宋" w:cs="仿宋"/>
          <w:b w:val="0"/>
          <w:color w:val="auto"/>
          <w:sz w:val="24"/>
          <w:szCs w:val="24"/>
          <w:highlight w:val="none"/>
          <w:u w:val="single"/>
          <w:lang w:val="en-US" w:eastAsia="zh-CN"/>
        </w:rPr>
        <w:t xml:space="preserve"> 叁仟元整</w:t>
      </w:r>
      <w:r>
        <w:rPr>
          <w:rFonts w:hint="eastAsia" w:ascii="仿宋" w:hAnsi="仿宋" w:eastAsia="仿宋" w:cs="仿宋"/>
          <w:b w:val="0"/>
          <w:color w:val="auto"/>
          <w:sz w:val="24"/>
          <w:szCs w:val="24"/>
          <w:highlight w:val="none"/>
        </w:rPr>
        <w:t>)作为履行本合同的保证金。保证金不计利息，不抵作租金。租赁期届满，如乙方无违约行为，保证金全额无息退回给乙方；如乙方中途自行退租或违反本合同有关条款，视作违约处理, 甲方有权单方解除合同，保证金归甲方所有，且收回乙方租赁上述</w:t>
      </w:r>
      <w:r>
        <w:rPr>
          <w:rFonts w:hint="eastAsia" w:ascii="仿宋" w:hAnsi="仿宋" w:eastAsia="仿宋" w:cs="仿宋"/>
          <w:b w:val="0"/>
          <w:bCs w:val="0"/>
          <w:sz w:val="24"/>
          <w:szCs w:val="24"/>
          <w:highlight w:val="none"/>
          <w:lang w:eastAsia="zh-CN"/>
        </w:rPr>
        <w:t>标的物</w:t>
      </w:r>
      <w:r>
        <w:rPr>
          <w:rFonts w:hint="eastAsia" w:ascii="仿宋" w:hAnsi="仿宋" w:eastAsia="仿宋" w:cs="仿宋"/>
          <w:b w:val="0"/>
          <w:color w:val="auto"/>
          <w:sz w:val="24"/>
          <w:szCs w:val="24"/>
          <w:highlight w:val="none"/>
        </w:rPr>
        <w:t>的使用权。如甲方违约，双倍退回保证金；</w:t>
      </w:r>
    </w:p>
    <w:p>
      <w:pPr>
        <w:keepNext w:val="0"/>
        <w:keepLines w:val="0"/>
        <w:pageBreakBefore w:val="0"/>
        <w:kinsoku/>
        <w:overflowPunct/>
        <w:topLinePunct w:val="0"/>
        <w:autoSpaceDE/>
        <w:autoSpaceDN/>
        <w:bidi w:val="0"/>
        <w:adjustRightInd w:val="0"/>
        <w:snapToGrid/>
        <w:spacing w:line="460" w:lineRule="exact"/>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项目业主单位</w:t>
      </w:r>
      <w:r>
        <w:rPr>
          <w:rFonts w:hint="eastAsia" w:ascii="仿宋" w:hAnsi="仿宋" w:eastAsia="仿宋" w:cs="仿宋"/>
          <w:color w:val="auto"/>
          <w:sz w:val="24"/>
          <w:szCs w:val="24"/>
          <w:highlight w:val="none"/>
        </w:rPr>
        <w:t>基于自身经营情况，可能会安排一家或多家下属公司（例如物业公司）与竞得人签订一份或多份合同，合同总价与竞得价格一致，竞得人应无条件接受。</w:t>
      </w:r>
    </w:p>
    <w:p>
      <w:pPr>
        <w:keepNext w:val="0"/>
        <w:keepLines w:val="0"/>
        <w:pageBreakBefore w:val="0"/>
        <w:kinsoku/>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（四）在填写合同条款中，如没有内容填写，请注明“无”，并保持主体框架内容不变。如有需要，可依据实际情况增列内容。</w:t>
      </w:r>
    </w:p>
    <w:p>
      <w:pPr>
        <w:adjustRightInd w:val="0"/>
        <w:spacing w:line="440" w:lineRule="exact"/>
        <w:rPr>
          <w:rFonts w:hint="eastAsia" w:ascii="仿宋" w:hAnsi="仿宋" w:eastAsia="仿宋" w:cs="仿宋"/>
          <w:b/>
          <w:color w:val="auto"/>
          <w:sz w:val="24"/>
          <w:szCs w:val="24"/>
          <w:highlight w:val="none"/>
        </w:rPr>
      </w:pPr>
    </w:p>
    <w:p>
      <w:pPr>
        <w:adjustRightIn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二、合同指导文本</w:t>
      </w:r>
      <w:bookmarkEnd w:id="13"/>
      <w:bookmarkEnd w:id="14"/>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bookmarkStart w:id="31" w:name="CNCODE"/>
      <w:bookmarkEnd w:id="31"/>
      <w:bookmarkStart w:id="32" w:name="OLE_LINK14"/>
      <w:bookmarkEnd w:id="32"/>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0564</w:t>
      </w:r>
      <w:r>
        <w:rPr>
          <w:rFonts w:hint="eastAsia" w:ascii="仿宋" w:hAnsi="仿宋" w:eastAsia="仿宋" w:cs="仿宋"/>
          <w:color w:val="auto"/>
          <w:sz w:val="24"/>
          <w:szCs w:val="24"/>
          <w:highlight w:val="none"/>
          <w:u w:val="single"/>
        </w:rPr>
        <w:t>号</w:t>
      </w:r>
    </w:p>
    <w:p>
      <w:pPr>
        <w:spacing w:line="400" w:lineRule="exact"/>
        <w:jc w:val="left"/>
        <w:rPr>
          <w:rFonts w:hint="eastAsia" w:ascii="仿宋" w:hAnsi="仿宋" w:eastAsia="仿宋" w:cs="仿宋"/>
          <w:color w:val="auto"/>
          <w:sz w:val="24"/>
          <w:szCs w:val="24"/>
          <w:highlight w:val="none"/>
          <w:u w:val="single"/>
        </w:rPr>
      </w:pPr>
    </w:p>
    <w:p>
      <w:pPr>
        <w:spacing w:line="400" w:lineRule="exact"/>
        <w:jc w:val="center"/>
        <w:rPr>
          <w:rFonts w:hint="eastAsia" w:ascii="宋体" w:hAnsi="宋体" w:eastAsia="宋体" w:cs="宋体"/>
          <w:b/>
          <w:color w:val="auto"/>
          <w:sz w:val="32"/>
          <w:szCs w:val="32"/>
          <w:highlight w:val="none"/>
        </w:rPr>
      </w:pPr>
      <w:bookmarkStart w:id="33" w:name="OLE_LINK13"/>
      <w:r>
        <w:rPr>
          <w:rFonts w:hint="eastAsia" w:ascii="宋体" w:hAnsi="宋体" w:eastAsia="宋体" w:cs="宋体"/>
          <w:b/>
          <w:color w:val="auto"/>
          <w:sz w:val="32"/>
          <w:szCs w:val="32"/>
          <w:highlight w:val="none"/>
          <w:lang w:val="en-US" w:eastAsia="zh-CN"/>
        </w:rPr>
        <w:t>广州市沙东有利</w:t>
      </w:r>
      <w:r>
        <w:rPr>
          <w:rFonts w:hint="eastAsia" w:ascii="宋体" w:hAnsi="宋体" w:cs="宋体"/>
          <w:b/>
          <w:color w:val="auto"/>
          <w:sz w:val="32"/>
          <w:szCs w:val="32"/>
          <w:highlight w:val="none"/>
          <w:lang w:val="en-US" w:eastAsia="zh-CN"/>
        </w:rPr>
        <w:t>国际服装批发城</w:t>
      </w:r>
      <w:r>
        <w:rPr>
          <w:rFonts w:hint="eastAsia" w:ascii="宋体" w:hAnsi="宋体" w:eastAsia="宋体" w:cs="宋体"/>
          <w:b/>
          <w:color w:val="auto"/>
          <w:sz w:val="32"/>
          <w:szCs w:val="32"/>
          <w:highlight w:val="none"/>
          <w:lang w:val="en-US" w:eastAsia="zh-CN"/>
        </w:rPr>
        <w:t xml:space="preserve">有限公司                                                                                                                     </w:t>
      </w:r>
      <w:r>
        <w:rPr>
          <w:rFonts w:hint="eastAsia" w:ascii="宋体" w:hAnsi="宋体" w:eastAsia="宋体" w:cs="宋体"/>
          <w:b/>
          <w:color w:val="auto"/>
          <w:sz w:val="32"/>
          <w:szCs w:val="32"/>
          <w:highlight w:val="none"/>
        </w:rPr>
        <w:t>租赁合同</w:t>
      </w:r>
    </w:p>
    <w:bookmarkEnd w:id="33"/>
    <w:p>
      <w:pPr>
        <w:spacing w:line="400" w:lineRule="exact"/>
        <w:jc w:val="left"/>
        <w:rPr>
          <w:rFonts w:hint="eastAsia" w:ascii="仿宋" w:hAnsi="仿宋" w:eastAsia="仿宋" w:cs="仿宋"/>
          <w:color w:val="auto"/>
          <w:sz w:val="28"/>
          <w:szCs w:val="28"/>
          <w:highlight w:val="none"/>
        </w:rPr>
      </w:pPr>
    </w:p>
    <w:p>
      <w:pPr>
        <w:spacing w:line="400" w:lineRule="exact"/>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出租方（以下简称甲方）：</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r>
        <w:rPr>
          <w:rFonts w:hint="eastAsia" w:ascii="仿宋" w:hAnsi="仿宋" w:eastAsia="仿宋" w:cs="仿宋"/>
          <w:color w:val="auto"/>
          <w:sz w:val="24"/>
          <w:szCs w:val="24"/>
          <w:highlight w:val="none"/>
          <w:u w:val="single"/>
          <w:lang w:val="en-US" w:eastAsia="zh-CN"/>
        </w:rPr>
        <w:t xml:space="preserve"> </w:t>
      </w:r>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承租方（以下简称乙方）：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114"/>
        <w:spacing w:line="400" w:lineRule="exact"/>
        <w:ind w:firstLine="480" w:firstLineChars="200"/>
        <w:rPr>
          <w:rFonts w:hint="eastAsia" w:ascii="仿宋" w:hAnsi="仿宋" w:eastAsia="仿宋" w:cs="仿宋"/>
          <w:color w:val="auto"/>
          <w:sz w:val="24"/>
          <w:szCs w:val="24"/>
          <w:highlight w:val="none"/>
        </w:rPr>
      </w:pPr>
    </w:p>
    <w:p>
      <w:pPr>
        <w:pStyle w:val="114"/>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为规范物业租赁行为，维护租赁双方当事人的合法权益，根据有关法律法规规定，甲乙双方本着平等、自愿、诚实、守信的原则，经友好协商，订立本合同。</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 xml:space="preserve">第一条  </w:t>
      </w:r>
      <w:r>
        <w:rPr>
          <w:rFonts w:hint="eastAsia" w:ascii="仿宋" w:hAnsi="仿宋" w:eastAsia="仿宋" w:cs="仿宋"/>
          <w:color w:val="auto"/>
          <w:sz w:val="24"/>
          <w:szCs w:val="24"/>
          <w:highlight w:val="none"/>
        </w:rPr>
        <w:t>甲方将位于</w:t>
      </w:r>
      <w:r>
        <w:rPr>
          <w:rFonts w:hint="eastAsia" w:ascii="仿宋" w:hAnsi="仿宋" w:eastAsia="仿宋" w:cs="仿宋"/>
          <w:color w:val="auto"/>
          <w:sz w:val="24"/>
          <w:szCs w:val="24"/>
          <w:highlight w:val="none"/>
          <w:u w:val="single"/>
        </w:rPr>
        <w:t>广州</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u w:val="single"/>
        </w:rPr>
        <w:t>天河</w:t>
      </w:r>
      <w:r>
        <w:rPr>
          <w:rFonts w:hint="eastAsia" w:ascii="仿宋" w:hAnsi="仿宋" w:eastAsia="仿宋" w:cs="仿宋"/>
          <w:color w:val="auto"/>
          <w:sz w:val="24"/>
          <w:szCs w:val="24"/>
          <w:highlight w:val="none"/>
        </w:rPr>
        <w:t>区</w:t>
      </w:r>
      <w:r>
        <w:rPr>
          <w:rFonts w:hint="eastAsia" w:ascii="仿宋" w:hAnsi="仿宋" w:eastAsia="仿宋" w:cs="仿宋"/>
          <w:color w:val="auto"/>
          <w:sz w:val="24"/>
          <w:szCs w:val="24"/>
          <w:highlight w:val="none"/>
          <w:u w:val="single"/>
          <w:lang w:val="en-US" w:eastAsia="zh-CN"/>
        </w:rPr>
        <w:t>濂泉路21号沙东有利国际服装批发城#A014</w:t>
      </w:r>
      <w:r>
        <w:rPr>
          <w:rFonts w:hint="eastAsia" w:ascii="仿宋" w:hAnsi="仿宋" w:eastAsia="仿宋" w:cs="仿宋"/>
          <w:color w:val="auto"/>
          <w:sz w:val="24"/>
          <w:szCs w:val="24"/>
          <w:highlight w:val="none"/>
        </w:rPr>
        <w:t>的自有物业出租给乙方，</w:t>
      </w:r>
      <w:bookmarkEnd w:id="7"/>
      <w:bookmarkEnd w:id="8"/>
      <w:bookmarkEnd w:id="9"/>
      <w:bookmarkEnd w:id="10"/>
      <w:bookmarkEnd w:id="11"/>
      <w:bookmarkEnd w:id="12"/>
      <w:r>
        <w:rPr>
          <w:rFonts w:hint="eastAsia" w:ascii="仿宋" w:hAnsi="仿宋" w:eastAsia="仿宋" w:cs="仿宋"/>
          <w:color w:val="auto"/>
          <w:sz w:val="24"/>
          <w:szCs w:val="24"/>
          <w:highlight w:val="none"/>
        </w:rPr>
        <w:t>该物业面积</w:t>
      </w:r>
      <w:r>
        <w:rPr>
          <w:rFonts w:hint="eastAsia" w:ascii="仿宋" w:hAnsi="仿宋" w:eastAsia="仿宋" w:cs="仿宋"/>
          <w:color w:val="auto"/>
          <w:sz w:val="24"/>
          <w:szCs w:val="24"/>
          <w:highlight w:val="none"/>
          <w:u w:val="single"/>
          <w:lang w:val="en-US" w:eastAsia="zh-CN"/>
        </w:rPr>
        <w:t xml:space="preserve"> 7.5</w:t>
      </w:r>
      <w:r>
        <w:rPr>
          <w:rFonts w:hint="eastAsia" w:ascii="仿宋" w:hAnsi="仿宋" w:eastAsia="仿宋" w:cs="仿宋"/>
          <w:color w:val="auto"/>
          <w:sz w:val="24"/>
          <w:szCs w:val="24"/>
          <w:highlight w:val="none"/>
          <w:u w:val="single"/>
        </w:rPr>
        <w:t>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租金</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元/月/平方米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租金为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年 </w:t>
      </w:r>
      <w:r>
        <w:rPr>
          <w:rFonts w:hint="eastAsia" w:ascii="仿宋" w:hAnsi="仿宋" w:eastAsia="仿宋" w:cs="仿宋"/>
          <w:color w:val="auto"/>
          <w:sz w:val="24"/>
          <w:szCs w:val="24"/>
          <w:highlight w:val="none"/>
        </w:rPr>
        <w:t>，分摊共用建筑面积</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平方米，产权证类型：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，证号</w:t>
      </w:r>
      <w:r>
        <w:rPr>
          <w:rFonts w:hint="eastAsia" w:ascii="仿宋" w:hAnsi="仿宋" w:eastAsia="仿宋" w:cs="仿宋"/>
          <w:color w:val="auto"/>
          <w:sz w:val="24"/>
          <w:szCs w:val="24"/>
          <w:highlight w:val="none"/>
          <w:u w:val="single"/>
        </w:rPr>
        <w:t xml:space="preserve"> </w:t>
      </w:r>
      <w:r>
        <w:rPr>
          <w:rFonts w:hint="eastAsia" w:eastAsia="仿宋_GB2312" w:cs="Times New Roman"/>
          <w:sz w:val="24"/>
          <w:highlight w:val="none"/>
          <w:u w:val="single"/>
          <w:lang w:val="en-US" w:eastAsia="zh-CN"/>
        </w:rPr>
        <w:t xml:space="preserve">/ </w:t>
      </w:r>
      <w:r>
        <w:rPr>
          <w:rFonts w:hint="eastAsia" w:ascii="仿宋" w:hAnsi="仿宋" w:eastAsia="仿宋" w:cs="仿宋"/>
          <w:color w:val="auto"/>
          <w:sz w:val="24"/>
          <w:szCs w:val="24"/>
          <w:highlight w:val="none"/>
        </w:rPr>
        <w:t>。乙方对甲方出租的物业情况已作充分了解，保证租赁期内仅用于</w:t>
      </w:r>
      <w:r>
        <w:rPr>
          <w:rFonts w:hint="eastAsia" w:ascii="仿宋" w:hAnsi="仿宋" w:eastAsia="仿宋" w:cs="仿宋"/>
          <w:color w:val="auto"/>
          <w:sz w:val="24"/>
          <w:szCs w:val="24"/>
          <w:highlight w:val="none"/>
          <w:u w:val="single"/>
          <w:lang w:val="en-US" w:eastAsia="zh-CN"/>
        </w:rPr>
        <w:t xml:space="preserve"> 服装批发、零售 </w:t>
      </w:r>
      <w:r>
        <w:rPr>
          <w:rFonts w:hint="eastAsia" w:ascii="仿宋" w:hAnsi="仿宋" w:eastAsia="仿宋" w:cs="仿宋"/>
          <w:color w:val="auto"/>
          <w:sz w:val="24"/>
          <w:szCs w:val="24"/>
          <w:highlight w:val="none"/>
        </w:rPr>
        <w:t>用途，并遵守有关法律、法规规定和本联社村规民约，依法依规经营。</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承租期限</w:t>
      </w:r>
    </w:p>
    <w:p>
      <w:pPr>
        <w:keepNext w:val="0"/>
        <w:keepLines w:val="0"/>
        <w:pageBreakBefore w:val="0"/>
        <w:kinsoku/>
        <w:wordWrap/>
        <w:overflowPunct/>
        <w:topLinePunct w:val="0"/>
        <w:autoSpaceDE/>
        <w:bidi w:val="0"/>
        <w:spacing w:line="480" w:lineRule="exact"/>
        <w:ind w:left="279" w:leftChars="133"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本合同项下的物业租赁年限为</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 xml:space="preserve">24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2027</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rPr>
        <w:t>日止。</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第三条  </w:t>
      </w:r>
      <w:r>
        <w:rPr>
          <w:rFonts w:hint="eastAsia" w:ascii="仿宋" w:hAnsi="仿宋" w:eastAsia="仿宋" w:cs="仿宋"/>
          <w:b/>
          <w:bCs/>
          <w:color w:val="auto"/>
          <w:sz w:val="24"/>
          <w:szCs w:val="24"/>
          <w:highlight w:val="none"/>
        </w:rPr>
        <w:t>合同履约保证金、租金及支付方式</w:t>
      </w:r>
    </w:p>
    <w:p>
      <w:pPr>
        <w:keepNext w:val="0"/>
        <w:keepLines w:val="0"/>
        <w:pageBreakBefore w:val="0"/>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（一）合同履约保证金及支付方式</w:t>
      </w:r>
    </w:p>
    <w:p>
      <w:pPr>
        <w:keepNext w:val="0"/>
        <w:keepLines w:val="0"/>
        <w:pageBreakBefore w:val="0"/>
        <w:kinsoku/>
        <w:wordWrap/>
        <w:overflowPunct/>
        <w:topLinePunct w:val="0"/>
        <w:autoSpaceDE/>
        <w:bidi w:val="0"/>
        <w:adjustRightInd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none"/>
          <w:lang w:eastAsia="zh-CN"/>
        </w:rPr>
        <w:t>合同履约保证金共</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。参加竞投时，乙方向交易中心交纳的交易保证金</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将转为本合同部分履约保证金，合同履约保证金不足部分须由乙方在本合同签订前向甲方交纳人民币</w:t>
      </w:r>
      <w:r>
        <w:rPr>
          <w:rFonts w:hint="eastAsia" w:ascii="仿宋" w:hAnsi="仿宋" w:eastAsia="仿宋" w:cs="仿宋"/>
          <w:color w:val="auto"/>
          <w:kern w:val="0"/>
          <w:sz w:val="24"/>
          <w:szCs w:val="24"/>
          <w:highlight w:val="none"/>
          <w:u w:val="single"/>
          <w:lang w:eastAsia="zh-CN"/>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元 (大写: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整）</w:t>
      </w:r>
      <w:r>
        <w:rPr>
          <w:rFonts w:hint="eastAsia" w:ascii="仿宋" w:hAnsi="仿宋" w:eastAsia="仿宋" w:cs="仿宋"/>
          <w:color w:val="auto"/>
          <w:kern w:val="0"/>
          <w:sz w:val="24"/>
          <w:szCs w:val="24"/>
          <w:highlight w:val="none"/>
          <w:u w:val="none"/>
          <w:lang w:eastAsia="zh-CN"/>
        </w:rPr>
        <w:t>，保证金不计利息，不抵作租金。合同期届满，如乙方无违约行为，履约保证金全额无息退回给乙方；如乙方中途自行退租或违反本合同有关条款，视作违约处理, 甲方有权单方终止合同，履约保证金归甲方所有，且收回乙方租赁上述物业的使用权。如甲方无正当理由单方解除合同，应双倍退还履约保证金。</w:t>
      </w:r>
    </w:p>
    <w:p>
      <w:pPr>
        <w:keepNext w:val="0"/>
        <w:keepLines w:val="0"/>
        <w:pageBreakBefore w:val="0"/>
        <w:widowControl/>
        <w:numPr>
          <w:ilvl w:val="0"/>
          <w:numId w:val="8"/>
        </w:numPr>
        <w:shd w:val="clear" w:color="auto" w:fill="FFFFFF"/>
        <w:kinsoku/>
        <w:wordWrap/>
        <w:overflowPunct/>
        <w:topLinePunct w:val="0"/>
        <w:autoSpaceDE/>
        <w:bidi w:val="0"/>
        <w:spacing w:line="480" w:lineRule="exact"/>
        <w:ind w:left="0" w:leftChars="0"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租金标准和支付方式</w:t>
      </w:r>
    </w:p>
    <w:p>
      <w:pPr>
        <w:pStyle w:val="114"/>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租金采用第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种方式计算：</w:t>
      </w:r>
    </w:p>
    <w:p>
      <w:pPr>
        <w:keepNext w:val="0"/>
        <w:keepLines w:val="0"/>
        <w:pageBreakBefore w:val="0"/>
        <w:kinsoku/>
        <w:wordWrap/>
        <w:overflowPunct/>
        <w:topLinePunct w:val="0"/>
        <w:autoSpaceDE/>
        <w:bidi w:val="0"/>
        <w:snapToGrid/>
        <w:spacing w:line="4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有递增方式；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无递增方式；</w:t>
      </w:r>
    </w:p>
    <w:p>
      <w:pPr>
        <w:pStyle w:val="114"/>
        <w:keepNext w:val="0"/>
        <w:keepLines w:val="0"/>
        <w:pageBreakBefore w:val="0"/>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一次性付清方式。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租金按年收取，首年度租金在签约当日一次性缴清；</w:t>
      </w:r>
      <w:r>
        <w:rPr>
          <w:rFonts w:hint="eastAsia" w:ascii="仿宋" w:hAnsi="仿宋" w:eastAsia="仿宋" w:cs="仿宋"/>
          <w:color w:val="auto"/>
          <w:sz w:val="24"/>
          <w:szCs w:val="24"/>
          <w:highlight w:val="none"/>
          <w:u w:val="single"/>
        </w:rPr>
        <w:t>次年度租金在上一年度结束30天前</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到本公司收费窗口以现金或银行卡刷卡 </w:t>
      </w:r>
      <w:r>
        <w:rPr>
          <w:rFonts w:hint="eastAsia" w:ascii="仿宋" w:hAnsi="仿宋" w:eastAsia="仿宋" w:cs="仿宋"/>
          <w:color w:val="auto"/>
          <w:sz w:val="24"/>
          <w:szCs w:val="24"/>
          <w:highlight w:val="none"/>
        </w:rPr>
        <w:t>的方式支付。逾期未支付视为乙方违约，甲方有权解除合同，</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保证金归甲方所有，且收回乙方租赁上述物业的使用权。</w:t>
      </w:r>
    </w:p>
    <w:tbl>
      <w:tblPr>
        <w:tblStyle w:val="53"/>
        <w:tblpPr w:leftFromText="180" w:rightFromText="180" w:vertAnchor="text" w:horzAnchor="page" w:tblpX="1368" w:tblpY="960"/>
        <w:tblOverlap w:val="never"/>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890"/>
        <w:gridCol w:w="1140"/>
        <w:gridCol w:w="106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2"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eastAsia="zh-CN"/>
              </w:rPr>
              <w:t>合同起始日期</w:t>
            </w:r>
          </w:p>
        </w:tc>
        <w:tc>
          <w:tcPr>
            <w:tcW w:w="6028" w:type="dxa"/>
            <w:gridSpan w:val="4"/>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val="en-US" w:eastAsia="zh-CN"/>
              </w:rPr>
              <w:t>年</w:t>
            </w:r>
            <w:r>
              <w:rPr>
                <w:rFonts w:hint="eastAsia" w:ascii="仿宋_GB2312" w:hAnsi="仿宋_GB2312" w:eastAsia="仿宋_GB2312" w:cs="仿宋_GB2312"/>
                <w:sz w:val="24"/>
                <w:szCs w:val="24"/>
                <w:highlight w:val="none"/>
                <w:vertAlign w:val="baseline"/>
                <w:lang w:eastAsia="zh-CN"/>
              </w:rPr>
              <w:t>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3622" w:type="dxa"/>
            <w:vMerge w:val="continue"/>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28"/>
                <w:szCs w:val="28"/>
                <w:highlight w:val="none"/>
                <w:vertAlign w:val="baseline"/>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不含税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增值税税额</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含税金额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622" w:type="dxa"/>
            <w:vAlign w:val="center"/>
          </w:tcPr>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20</w:t>
            </w:r>
            <w:r>
              <w:rPr>
                <w:rFonts w:hint="eastAsia" w:eastAsia="仿宋_GB2312" w:cs="Times New Roman"/>
                <w:kern w:val="0"/>
                <w:sz w:val="24"/>
                <w:szCs w:val="24"/>
                <w:highlight w:val="none"/>
                <w:lang w:val="en-US" w:eastAsia="zh-CN"/>
              </w:rPr>
              <w:t>24</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2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日</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至</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eastAsia="仿宋_GB2312" w:cs="Times New Roman"/>
                <w:kern w:val="0"/>
                <w:sz w:val="24"/>
                <w:szCs w:val="24"/>
                <w:highlight w:val="none"/>
                <w:lang w:val="en-US" w:eastAsia="zh-CN"/>
              </w:rPr>
              <w:t>2027</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31</w:t>
            </w:r>
            <w:r>
              <w:rPr>
                <w:rFonts w:hint="default" w:ascii="Times New Roman" w:hAnsi="Times New Roman" w:eastAsia="仿宋_GB2312" w:cs="Times New Roman"/>
                <w:kern w:val="0"/>
                <w:sz w:val="24"/>
                <w:szCs w:val="24"/>
                <w:highlight w:val="none"/>
              </w:rPr>
              <w:t>日</w:t>
            </w:r>
          </w:p>
        </w:tc>
        <w:tc>
          <w:tcPr>
            <w:tcW w:w="1890"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kinsoku/>
              <w:wordWrap/>
              <w:overflowPunct/>
              <w:topLinePunct w:val="0"/>
              <w:autoSpaceDE/>
              <w:bidi w:val="0"/>
              <w:spacing w:line="59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c>
          <w:tcPr>
            <w:tcW w:w="1140" w:type="dxa"/>
            <w:vAlign w:val="center"/>
          </w:tcPr>
          <w:p>
            <w:pPr>
              <w:keepNext w:val="0"/>
              <w:keepLines w:val="0"/>
              <w:pageBreakBefore w:val="0"/>
              <w:kinsoku/>
              <w:wordWrap/>
              <w:overflowPunct/>
              <w:topLinePunct w:val="0"/>
              <w:autoSpaceDE/>
              <w:bidi w:val="0"/>
              <w:spacing w:line="590" w:lineRule="exact"/>
              <w:jc w:val="center"/>
              <w:textAlignment w:val="auto"/>
              <w:rPr>
                <w:rFonts w:hint="default" w:eastAsia="仿宋_GB2312" w:cs="Times New Roman"/>
                <w:color w:val="auto"/>
                <w:kern w:val="2"/>
                <w:sz w:val="24"/>
                <w:szCs w:val="24"/>
                <w:highlight w:val="none"/>
                <w:lang w:val="en-US" w:eastAsia="zh-CN" w:bidi="ar-SA"/>
              </w:rPr>
            </w:pPr>
          </w:p>
        </w:tc>
        <w:tc>
          <w:tcPr>
            <w:tcW w:w="1065" w:type="dxa"/>
            <w:vAlign w:val="center"/>
          </w:tcPr>
          <w:p>
            <w:pPr>
              <w:keepNext w:val="0"/>
              <w:keepLines w:val="0"/>
              <w:pageBreakBefore w:val="0"/>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1933"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widowControl/>
              <w:kinsoku/>
              <w:wordWrap/>
              <w:overflowPunct/>
              <w:topLinePunct w:val="0"/>
              <w:autoSpaceDE/>
              <w:bidi w:val="0"/>
              <w:spacing w:line="590" w:lineRule="exact"/>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r>
    </w:tbl>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乙方以含税金额缴纳月租金，</w:t>
      </w:r>
      <w:r>
        <w:rPr>
          <w:rFonts w:hint="eastAsia" w:ascii="仿宋" w:hAnsi="仿宋" w:eastAsia="仿宋" w:cs="仿宋"/>
          <w:color w:val="auto"/>
          <w:sz w:val="24"/>
          <w:szCs w:val="24"/>
          <w:highlight w:val="none"/>
        </w:rPr>
        <w:t>具体租金额如下表</w:t>
      </w:r>
      <w:r>
        <w:rPr>
          <w:rFonts w:hint="eastAsia" w:ascii="仿宋" w:hAnsi="仿宋" w:eastAsia="仿宋" w:cs="仿宋"/>
          <w:color w:val="auto"/>
          <w:sz w:val="24"/>
          <w:szCs w:val="24"/>
          <w:highlight w:val="none"/>
          <w:lang w:eastAsia="zh-CN"/>
        </w:rPr>
        <w:t>：</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乙方每月缴纳综合管理费250元/月；卫生费、消防费、治安费110元/月；及商铺实际用电费用（按商铺当月电表读数，随供电部门单价进行调整）。 </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在合同期内，乙方必须按规定期限缴交租金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。凡拖欠租金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的，需加收</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金每天按照所欠租金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%计算。如乙方拖欠甲方租金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达到</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天，则视作乙方</w:t>
      </w:r>
      <w:r>
        <w:rPr>
          <w:rFonts w:hint="eastAsia" w:ascii="仿宋" w:hAnsi="仿宋" w:eastAsia="仿宋" w:cs="仿宋"/>
          <w:color w:val="auto"/>
          <w:sz w:val="24"/>
          <w:szCs w:val="24"/>
          <w:highlight w:val="none"/>
          <w:lang w:eastAsia="zh-CN"/>
        </w:rPr>
        <w:t>根本</w:t>
      </w:r>
      <w:r>
        <w:rPr>
          <w:rFonts w:hint="eastAsia" w:ascii="仿宋" w:hAnsi="仿宋" w:eastAsia="仿宋" w:cs="仿宋"/>
          <w:color w:val="auto"/>
          <w:sz w:val="24"/>
          <w:szCs w:val="24"/>
          <w:highlight w:val="none"/>
        </w:rPr>
        <w:t>违约，保证金归甲方所有，甲方有权单方解除合同，无偿收回出租物业。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）本合同签订</w:t>
      </w:r>
      <w:r>
        <w:rPr>
          <w:rFonts w:hint="eastAsia" w:ascii="仿宋" w:hAnsi="仿宋" w:eastAsia="仿宋" w:cs="仿宋"/>
          <w:color w:val="auto"/>
          <w:sz w:val="24"/>
          <w:szCs w:val="24"/>
          <w:highlight w:val="none"/>
          <w:u w:val="none"/>
          <w:lang w:eastAsia="zh-CN"/>
        </w:rPr>
        <w:t>前</w:t>
      </w:r>
      <w:r>
        <w:rPr>
          <w:rFonts w:hint="eastAsia" w:ascii="仿宋" w:hAnsi="仿宋" w:eastAsia="仿宋" w:cs="仿宋"/>
          <w:color w:val="auto"/>
          <w:sz w:val="24"/>
          <w:szCs w:val="24"/>
          <w:highlight w:val="none"/>
        </w:rPr>
        <w:t>，乙方须一次性向甲方交纳人民币</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 整</w:t>
      </w:r>
      <w:r>
        <w:rPr>
          <w:rFonts w:hint="eastAsia" w:ascii="仿宋" w:hAnsi="仿宋" w:eastAsia="仿宋" w:cs="仿宋"/>
          <w:color w:val="auto"/>
          <w:sz w:val="24"/>
          <w:szCs w:val="24"/>
          <w:highlight w:val="none"/>
          <w:u w:val="none"/>
          <w:lang w:val="en-US" w:eastAsia="zh-CN"/>
        </w:rPr>
        <w:t>)作为使用电的保证金。</w:t>
      </w:r>
      <w:r>
        <w:rPr>
          <w:rFonts w:hint="eastAsia" w:ascii="仿宋" w:hAnsi="仿宋" w:eastAsia="仿宋" w:cs="仿宋"/>
          <w:color w:val="auto"/>
          <w:spacing w:val="0"/>
          <w:position w:val="0"/>
          <w:sz w:val="24"/>
          <w:szCs w:val="24"/>
          <w:highlight w:val="none"/>
          <w:u w:val="none"/>
          <w:shd w:val="clear" w:color="auto" w:fill="auto"/>
        </w:rPr>
        <w:t>如</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未能在</w:t>
      </w:r>
      <w:r>
        <w:rPr>
          <w:rFonts w:hint="eastAsia" w:ascii="仿宋" w:hAnsi="仿宋" w:eastAsia="仿宋" w:cs="仿宋"/>
          <w:color w:val="auto"/>
          <w:spacing w:val="0"/>
          <w:position w:val="0"/>
          <w:sz w:val="24"/>
          <w:szCs w:val="24"/>
          <w:highlight w:val="none"/>
          <w:u w:val="none"/>
          <w:shd w:val="clear" w:color="auto" w:fill="auto"/>
          <w:lang w:eastAsia="zh-CN"/>
        </w:rPr>
        <w:t>合同签订前</w:t>
      </w:r>
      <w:r>
        <w:rPr>
          <w:rFonts w:hint="eastAsia" w:ascii="仿宋" w:hAnsi="仿宋" w:eastAsia="仿宋" w:cs="仿宋"/>
          <w:color w:val="auto"/>
          <w:spacing w:val="0"/>
          <w:position w:val="0"/>
          <w:sz w:val="24"/>
          <w:szCs w:val="24"/>
          <w:highlight w:val="none"/>
          <w:u w:val="none"/>
          <w:shd w:val="clear" w:color="auto" w:fill="auto"/>
        </w:rPr>
        <w:t>足额补缴上述费用，则视为</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原因，未与</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签订合同，</w:t>
      </w:r>
      <w:r>
        <w:rPr>
          <w:rFonts w:hint="eastAsia" w:ascii="仿宋" w:hAnsi="仿宋" w:eastAsia="仿宋" w:cs="仿宋"/>
          <w:color w:val="auto"/>
          <w:spacing w:val="0"/>
          <w:position w:val="0"/>
          <w:sz w:val="24"/>
          <w:szCs w:val="24"/>
          <w:highlight w:val="none"/>
          <w:u w:val="none"/>
          <w:shd w:val="clear" w:color="auto" w:fill="auto"/>
          <w:lang w:eastAsia="zh-CN"/>
        </w:rPr>
        <w:t>其</w:t>
      </w:r>
      <w:r>
        <w:rPr>
          <w:rFonts w:hint="eastAsia" w:ascii="仿宋" w:hAnsi="仿宋" w:eastAsia="仿宋" w:cs="仿宋"/>
          <w:color w:val="auto"/>
          <w:spacing w:val="0"/>
          <w:position w:val="0"/>
          <w:sz w:val="24"/>
          <w:szCs w:val="24"/>
          <w:highlight w:val="none"/>
          <w:u w:val="none"/>
          <w:shd w:val="clear" w:color="auto" w:fill="auto"/>
        </w:rPr>
        <w:t>交纳的交易保证金由交易中心转至</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，由</w:t>
      </w:r>
      <w:r>
        <w:rPr>
          <w:rFonts w:hint="eastAsia" w:ascii="仿宋" w:hAnsi="仿宋" w:eastAsia="仿宋" w:cs="仿宋"/>
          <w:color w:val="auto"/>
          <w:spacing w:val="0"/>
          <w:position w:val="0"/>
          <w:sz w:val="24"/>
          <w:szCs w:val="24"/>
          <w:highlight w:val="none"/>
          <w:u w:val="none"/>
          <w:shd w:val="clear" w:color="auto" w:fill="auto"/>
          <w:lang w:eastAsia="zh-CN"/>
        </w:rPr>
        <w:t>甲</w:t>
      </w:r>
      <w:r>
        <w:rPr>
          <w:rFonts w:hint="eastAsia" w:ascii="仿宋" w:hAnsi="仿宋" w:eastAsia="仿宋" w:cs="仿宋"/>
          <w:color w:val="auto"/>
          <w:spacing w:val="0"/>
          <w:position w:val="0"/>
          <w:sz w:val="24"/>
          <w:szCs w:val="24"/>
          <w:highlight w:val="none"/>
          <w:u w:val="none"/>
          <w:shd w:val="clear" w:color="auto" w:fill="auto"/>
        </w:rPr>
        <w:t>方全额作没收处理 ，不予退还</w:t>
      </w:r>
      <w:r>
        <w:rPr>
          <w:rFonts w:hint="eastAsia" w:ascii="仿宋" w:hAnsi="仿宋" w:eastAsia="仿宋" w:cs="仿宋"/>
          <w:color w:val="auto"/>
          <w:sz w:val="24"/>
          <w:szCs w:val="24"/>
          <w:highlight w:val="none"/>
          <w:u w:val="none"/>
          <w:lang w:val="en-US" w:eastAsia="zh-CN"/>
        </w:rPr>
        <w:t>。保证金不计利息，租赁期届满，乙方结算电</w:t>
      </w:r>
      <w:r>
        <w:rPr>
          <w:rFonts w:hint="eastAsia" w:ascii="仿宋" w:hAnsi="仿宋" w:eastAsia="仿宋" w:cs="仿宋"/>
          <w:color w:val="auto"/>
          <w:sz w:val="24"/>
          <w:szCs w:val="24"/>
          <w:highlight w:val="none"/>
        </w:rPr>
        <w:t>费用并提交相关结算凭证给甲方后，甲方把保证金全额无息退回给乙方。乙方怠于履行结算义务的，甲方有权用保证金代乙方结清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，保证金不足以结清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的，不足部分由乙方继续承担补缴责任。</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甲方按供电部门</w:t>
      </w:r>
      <w:r>
        <w:rPr>
          <w:rFonts w:hint="eastAsia" w:ascii="仿宋" w:hAnsi="仿宋" w:eastAsia="仿宋" w:cs="仿宋"/>
          <w:sz w:val="24"/>
          <w:szCs w:val="24"/>
          <w:highlight w:val="none"/>
          <w:lang w:val="en-US" w:eastAsia="zh-CN"/>
        </w:rPr>
        <w:t>每月发布的月度用电价格计收电费</w:t>
      </w:r>
      <w:r>
        <w:rPr>
          <w:rFonts w:hint="eastAsia" w:ascii="仿宋" w:hAnsi="仿宋" w:eastAsia="仿宋" w:cs="仿宋"/>
          <w:color w:val="auto"/>
          <w:sz w:val="24"/>
          <w:szCs w:val="24"/>
          <w:highlight w:val="none"/>
        </w:rPr>
        <w:t>，如遇政府</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实行电价调整时，双方再根据政府供电部</w:t>
      </w:r>
      <w:r>
        <w:rPr>
          <w:rFonts w:hint="eastAsia" w:ascii="仿宋" w:hAnsi="仿宋" w:eastAsia="仿宋" w:cs="仿宋"/>
          <w:color w:val="auto"/>
          <w:sz w:val="24"/>
          <w:szCs w:val="24"/>
          <w:highlight w:val="none"/>
          <w:lang w:eastAsia="zh-CN"/>
        </w:rPr>
        <w:t>门</w:t>
      </w:r>
      <w:r>
        <w:rPr>
          <w:rFonts w:hint="eastAsia" w:ascii="仿宋" w:hAnsi="仿宋" w:eastAsia="仿宋" w:cs="仿宋"/>
          <w:color w:val="auto"/>
          <w:sz w:val="24"/>
          <w:szCs w:val="24"/>
          <w:highlight w:val="none"/>
        </w:rPr>
        <w:t>调整的价格幅度作相应的调整。电等费用由乙方在次月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5日前（如遇节假日顺延）一次性缴清给甲方，乙方不能按时一次性缴足上述费用，视为乙方违约。</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）消防系统须向有资质维保单位进行维护、保养、维护费用按乙方承租面积分摊。</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第四条  场地交付</w:t>
      </w:r>
    </w:p>
    <w:p>
      <w:pPr>
        <w:pStyle w:val="114"/>
        <w:keepNext w:val="0"/>
        <w:keepLines w:val="0"/>
        <w:pageBreakBefore w:val="0"/>
        <w:kinsoku/>
        <w:wordWrap/>
        <w:overflowPunct/>
        <w:topLinePunct w:val="0"/>
        <w:autoSpaceDE/>
        <w:bidi w:val="0"/>
        <w:spacing w:line="480" w:lineRule="exact"/>
        <w:ind w:firstLine="56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sz w:val="24"/>
          <w:szCs w:val="24"/>
          <w:highlight w:val="none"/>
        </w:rPr>
        <w:t>甲方于</w:t>
      </w:r>
      <w:r>
        <w:rPr>
          <w:rFonts w:hint="eastAsia" w:ascii="仿宋" w:hAnsi="仿宋" w:eastAsia="仿宋" w:cs="仿宋"/>
          <w:sz w:val="24"/>
          <w:szCs w:val="24"/>
          <w:highlight w:val="none"/>
          <w:u w:val="single"/>
        </w:rPr>
        <w:t xml:space="preserve">  20</w:t>
      </w:r>
      <w:r>
        <w:rPr>
          <w:rFonts w:hint="eastAsia" w:ascii="仿宋" w:hAnsi="仿宋" w:eastAsia="仿宋" w:cs="仿宋"/>
          <w:sz w:val="24"/>
          <w:szCs w:val="24"/>
          <w:highlight w:val="none"/>
          <w:u w:val="single"/>
          <w:lang w:val="en-US" w:eastAsia="zh-CN"/>
        </w:rPr>
        <w:t>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2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合同期起始日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前将该物业交付乙方使用。乙方在本合同期满</w:t>
      </w:r>
      <w:r>
        <w:rPr>
          <w:rFonts w:hint="eastAsia" w:ascii="仿宋" w:hAnsi="仿宋" w:eastAsia="仿宋" w:cs="仿宋"/>
          <w:sz w:val="24"/>
          <w:szCs w:val="24"/>
          <w:highlight w:val="none"/>
          <w:lang w:eastAsia="zh-CN"/>
        </w:rPr>
        <w:t>时按交付时现状交还物业给甲方</w:t>
      </w:r>
      <w:r>
        <w:rPr>
          <w:rFonts w:hint="eastAsia" w:ascii="仿宋" w:hAnsi="仿宋" w:eastAsia="仿宋" w:cs="仿宋"/>
          <w:sz w:val="24"/>
          <w:szCs w:val="24"/>
          <w:highlight w:val="none"/>
        </w:rPr>
        <w:t>。</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（二）合同届满，乙方于</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合同期届满之日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将该物业交付给甲方。</w:t>
      </w:r>
    </w:p>
    <w:p>
      <w:pPr>
        <w:pStyle w:val="114"/>
        <w:keepNext w:val="0"/>
        <w:keepLines w:val="0"/>
        <w:pageBreakBefore w:val="0"/>
        <w:kinsoku/>
        <w:wordWrap/>
        <w:overflowPunct/>
        <w:topLinePunct w:val="0"/>
        <w:autoSpaceDE/>
        <w:bidi w:val="0"/>
        <w:snapToGrid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期间，甲乙双方解除或终止合同，乙方应在解除或终止合同之日将该物业交付给甲方，如发现该物业或设备设施有所损毁应在乙方保证金中扣除，不足部分由乙方赔偿。若乙方未按时归还的，甲方有权采取措施，收回物业，并按双倍租金计收场地占用费。</w:t>
      </w:r>
    </w:p>
    <w:p>
      <w:pPr>
        <w:pStyle w:val="114"/>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（四）合同届满或合同解除、终止，乙方在期满或终止日前自行清理租赁物业内属于乙方的设备、物品，逾期七天未清理的，视乙方自愿放弃，甲方有权自行处置。</w:t>
      </w:r>
    </w:p>
    <w:p>
      <w:pPr>
        <w:keepNext w:val="0"/>
        <w:keepLines w:val="0"/>
        <w:pageBreakBefore w:val="0"/>
        <w:kinsoku/>
        <w:wordWrap/>
        <w:overflowPunct/>
        <w:topLinePunct w:val="0"/>
        <w:autoSpaceDE/>
        <w:bidi w:val="0"/>
        <w:adjustRightInd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对出租的物业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拥有所有权。对出租物业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的使用进行监督，监督乙方对</w:t>
      </w:r>
      <w:r>
        <w:rPr>
          <w:rFonts w:hint="eastAsia" w:ascii="仿宋" w:hAnsi="仿宋" w:eastAsia="仿宋" w:cs="仿宋"/>
          <w:color w:val="auto"/>
          <w:sz w:val="24"/>
          <w:szCs w:val="24"/>
          <w:highlight w:val="none"/>
        </w:rPr>
        <w:t>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及其附属设施维护、保养、年审</w:t>
      </w:r>
      <w:r>
        <w:rPr>
          <w:rFonts w:hint="eastAsia" w:ascii="仿宋" w:hAnsi="仿宋" w:eastAsia="仿宋" w:cs="仿宋"/>
          <w:color w:val="auto"/>
          <w:kern w:val="0"/>
          <w:sz w:val="24"/>
          <w:szCs w:val="24"/>
          <w:highlight w:val="none"/>
        </w:rPr>
        <w:t>。乙方擅自改变</w:t>
      </w:r>
      <w:r>
        <w:rPr>
          <w:rFonts w:hint="eastAsia" w:ascii="仿宋" w:hAnsi="仿宋" w:eastAsia="仿宋" w:cs="仿宋"/>
          <w:color w:val="auto"/>
          <w:sz w:val="24"/>
          <w:szCs w:val="24"/>
          <w:highlight w:val="none"/>
        </w:rPr>
        <w:t>物业及其附属设施</w:t>
      </w:r>
      <w:r>
        <w:rPr>
          <w:rFonts w:hint="eastAsia" w:ascii="仿宋" w:hAnsi="仿宋" w:eastAsia="仿宋" w:cs="仿宋"/>
          <w:color w:val="auto"/>
          <w:kern w:val="0"/>
          <w:sz w:val="24"/>
          <w:szCs w:val="24"/>
          <w:highlight w:val="none"/>
        </w:rPr>
        <w:t>用途的，甲方有权解除合同，无偿收回物业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使用权，所收取的合同履约保证金、已收取的租金不予退还。</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合同期满，</w:t>
      </w:r>
      <w:r>
        <w:rPr>
          <w:rFonts w:hint="eastAsia" w:ascii="仿宋" w:hAnsi="仿宋" w:eastAsia="仿宋" w:cs="仿宋"/>
          <w:color w:val="auto"/>
          <w:kern w:val="0"/>
          <w:sz w:val="24"/>
          <w:szCs w:val="24"/>
          <w:highlight w:val="none"/>
        </w:rPr>
        <w:t>乙方在租赁物业内建设增设的构筑物、</w:t>
      </w:r>
      <w:r>
        <w:rPr>
          <w:rFonts w:hint="eastAsia" w:ascii="仿宋" w:hAnsi="仿宋" w:eastAsia="仿宋" w:cs="仿宋"/>
          <w:color w:val="auto"/>
          <w:sz w:val="24"/>
          <w:szCs w:val="24"/>
          <w:highlight w:val="none"/>
        </w:rPr>
        <w:t>装修</w:t>
      </w:r>
      <w:r>
        <w:rPr>
          <w:rFonts w:hint="eastAsia" w:ascii="仿宋" w:hAnsi="仿宋" w:eastAsia="仿宋" w:cs="仿宋"/>
          <w:color w:val="auto"/>
          <w:kern w:val="0"/>
          <w:sz w:val="24"/>
          <w:szCs w:val="24"/>
          <w:highlight w:val="none"/>
        </w:rPr>
        <w:t>及固定式、嵌入式设备设施</w:t>
      </w:r>
      <w:r>
        <w:rPr>
          <w:rFonts w:hint="eastAsia" w:ascii="仿宋" w:hAnsi="仿宋" w:eastAsia="仿宋" w:cs="仿宋"/>
          <w:color w:val="auto"/>
          <w:sz w:val="24"/>
          <w:szCs w:val="24"/>
          <w:highlight w:val="none"/>
        </w:rPr>
        <w:t>无偿归甲方所有</w:t>
      </w:r>
      <w:r>
        <w:rPr>
          <w:rFonts w:hint="eastAsia" w:ascii="仿宋" w:hAnsi="仿宋" w:eastAsia="仿宋" w:cs="仿宋"/>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甲方提供现有资料乙方自行办理相关经营</w:t>
      </w:r>
      <w:r>
        <w:rPr>
          <w:rFonts w:hint="eastAsia" w:ascii="仿宋" w:hAnsi="仿宋" w:eastAsia="仿宋" w:cs="仿宋"/>
          <w:color w:val="auto"/>
          <w:sz w:val="24"/>
          <w:szCs w:val="24"/>
          <w:highlight w:val="none"/>
        </w:rPr>
        <w:t>证照、</w:t>
      </w:r>
      <w:r>
        <w:rPr>
          <w:rFonts w:hint="eastAsia" w:ascii="仿宋" w:hAnsi="仿宋" w:eastAsia="仿宋" w:cs="仿宋"/>
          <w:color w:val="auto"/>
          <w:kern w:val="0"/>
          <w:sz w:val="24"/>
          <w:szCs w:val="24"/>
          <w:highlight w:val="none"/>
        </w:rPr>
        <w:t>手续。</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如不能按时将本合同项下的物业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交给乙方使用，应</w:t>
      </w:r>
      <w:r>
        <w:rPr>
          <w:rFonts w:hint="eastAsia" w:ascii="仿宋" w:hAnsi="仿宋" w:eastAsia="仿宋" w:cs="仿宋"/>
          <w:color w:val="auto"/>
          <w:kern w:val="0"/>
          <w:sz w:val="24"/>
          <w:szCs w:val="24"/>
          <w:highlight w:val="none"/>
          <w:lang w:eastAsia="zh-CN"/>
        </w:rPr>
        <w:t>每天</w:t>
      </w:r>
      <w:r>
        <w:rPr>
          <w:rFonts w:hint="eastAsia" w:ascii="仿宋" w:hAnsi="仿宋" w:eastAsia="仿宋" w:cs="仿宋"/>
          <w:color w:val="auto"/>
          <w:kern w:val="0"/>
          <w:sz w:val="24"/>
          <w:szCs w:val="24"/>
          <w:highlight w:val="none"/>
        </w:rPr>
        <w:t>按</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rPr>
        <w:t>租金的</w:t>
      </w:r>
      <w:r>
        <w:rPr>
          <w:rFonts w:hint="eastAsia" w:ascii="仿宋" w:hAnsi="仿宋" w:eastAsia="仿宋" w:cs="仿宋"/>
          <w:color w:val="auto"/>
          <w:kern w:val="0"/>
          <w:sz w:val="24"/>
          <w:szCs w:val="24"/>
          <w:highlight w:val="none"/>
          <w:u w:val="single"/>
        </w:rPr>
        <w:t xml:space="preserve">   0.</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%向乙方支付违约金。</w:t>
      </w:r>
    </w:p>
    <w:p>
      <w:pPr>
        <w:keepNext w:val="0"/>
        <w:keepLines w:val="0"/>
        <w:pageBreakBefore w:val="0"/>
        <w:widowControl/>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5.未经乙方同意，不得违反合同约定提高租金金额。</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配合甲方办理相关租赁备案手续。</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在接收租赁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前，保证详细知悉和了解</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及其附属设施现状，如发现有问题的，必须立即与甲方沟通协调。</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按照合同约定的用途和期限，享有租赁物业及其附属设施的使用权，享有该物业共有通道和公共设施的使用权，并依法使用该场地经营，甲方不得干涉和侵犯乙方合法权益。</w:t>
      </w:r>
    </w:p>
    <w:p>
      <w:pPr>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本合同物业仅用于经营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w:t>
      </w:r>
      <w:r>
        <w:rPr>
          <w:rFonts w:hint="eastAsia" w:ascii="仿宋" w:hAnsi="仿宋" w:eastAsia="仿宋" w:cs="仿宋"/>
          <w:bCs/>
          <w:color w:val="auto"/>
          <w:sz w:val="24"/>
          <w:szCs w:val="24"/>
          <w:highlight w:val="none"/>
          <w:lang w:eastAsia="zh-CN"/>
        </w:rPr>
        <w:t>如作其他用途</w:t>
      </w:r>
      <w:r>
        <w:rPr>
          <w:rFonts w:hint="eastAsia" w:ascii="仿宋" w:hAnsi="仿宋" w:eastAsia="仿宋" w:cs="仿宋"/>
          <w:color w:val="auto"/>
          <w:sz w:val="24"/>
          <w:szCs w:val="24"/>
          <w:highlight w:val="none"/>
        </w:rPr>
        <w:t>视作乙方违约。如乙方变更经营行业须经甲方书面同意并取得相关行政主管部门的审批核准或备案登记。</w:t>
      </w:r>
    </w:p>
    <w:p>
      <w:pPr>
        <w:keepNext w:val="0"/>
        <w:keepLines w:val="0"/>
        <w:pageBreakBefore w:val="0"/>
        <w:tabs>
          <w:tab w:val="left" w:pos="851"/>
          <w:tab w:val="left" w:pos="1134"/>
        </w:tabs>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须按相关管理法规要求领取营业执照、卫生许可证、税务登记证、特种行业经营许可证、消防等相关证照，并自行负担办理证照所需费用，否则视作乙方违约。</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自行负责在租赁期间一切经营费用；自行负责并按时依法缴纳税务、工商、环卫、环保等税费规费；负责并按时缴交</w:t>
      </w:r>
      <w:r>
        <w:rPr>
          <w:rFonts w:hint="eastAsia" w:ascii="仿宋" w:hAnsi="仿宋" w:eastAsia="仿宋" w:cs="仿宋"/>
          <w:color w:val="auto"/>
          <w:kern w:val="0"/>
          <w:sz w:val="24"/>
          <w:szCs w:val="24"/>
          <w:highlight w:val="none"/>
          <w:lang w:eastAsia="zh-CN"/>
        </w:rPr>
        <w:t>电费</w:t>
      </w:r>
      <w:r>
        <w:rPr>
          <w:rFonts w:hint="eastAsia" w:ascii="仿宋" w:hAnsi="仿宋" w:eastAsia="仿宋" w:cs="仿宋"/>
          <w:color w:val="auto"/>
          <w:kern w:val="0"/>
          <w:sz w:val="24"/>
          <w:szCs w:val="24"/>
          <w:highlight w:val="none"/>
        </w:rPr>
        <w:t>。</w:t>
      </w:r>
    </w:p>
    <w:p>
      <w:pPr>
        <w:pStyle w:val="114"/>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自行负责对外经营所产生的债权债务及经营法律责任、经营风险和损益。</w:t>
      </w:r>
    </w:p>
    <w:p>
      <w:pPr>
        <w:pStyle w:val="114"/>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不得在租赁物业内销售假冒伪劣商品。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可在甲方规定的物业门前上方范围制作广告招牌。如因广告招牌设置不当，造成他人损失的，由乙方负责改正并负责赔偿。</w:t>
      </w:r>
    </w:p>
    <w:p>
      <w:pPr>
        <w:keepNext w:val="0"/>
        <w:keepLines w:val="0"/>
        <w:pageBreakBefore w:val="0"/>
        <w:kinsoku/>
        <w:wordWrap/>
        <w:overflowPunct/>
        <w:topLinePunct w:val="0"/>
        <w:autoSpaceDE/>
        <w:bidi w:val="0"/>
        <w:spacing w:line="520" w:lineRule="exact"/>
        <w:ind w:left="2" w:leftChars="1"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妥善</w:t>
      </w:r>
      <w:r>
        <w:rPr>
          <w:rFonts w:hint="eastAsia" w:ascii="仿宋" w:hAnsi="仿宋" w:eastAsia="仿宋" w:cs="仿宋"/>
          <w:color w:val="auto"/>
          <w:kern w:val="0"/>
          <w:sz w:val="24"/>
          <w:szCs w:val="24"/>
          <w:highlight w:val="none"/>
        </w:rPr>
        <w:t>使用</w:t>
      </w:r>
      <w:r>
        <w:rPr>
          <w:rFonts w:hint="eastAsia" w:ascii="仿宋" w:hAnsi="仿宋" w:eastAsia="仿宋" w:cs="仿宋"/>
          <w:color w:val="auto"/>
          <w:sz w:val="24"/>
          <w:szCs w:val="24"/>
          <w:highlight w:val="none"/>
        </w:rPr>
        <w:t>和维护租赁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及其附属设施，及时消除各种可能出现的故障和危险，避免一切可能发生的隐患。负责更换和维修损坏设施</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承担维修费用，</w:t>
      </w:r>
      <w:r>
        <w:rPr>
          <w:rFonts w:hint="eastAsia" w:ascii="仿宋" w:hAnsi="仿宋" w:eastAsia="仿宋" w:cs="仿宋"/>
          <w:color w:val="auto"/>
          <w:kern w:val="0"/>
          <w:sz w:val="24"/>
          <w:szCs w:val="24"/>
          <w:highlight w:val="none"/>
        </w:rPr>
        <w:t>并保证如在本合同终止时所属设施使用状态正常并随同租赁物业归还甲方</w:t>
      </w:r>
      <w:r>
        <w:rPr>
          <w:rFonts w:hint="eastAsia" w:ascii="仿宋" w:hAnsi="仿宋" w:eastAsia="仿宋" w:cs="仿宋"/>
          <w:color w:val="auto"/>
          <w:sz w:val="24"/>
          <w:szCs w:val="24"/>
          <w:highlight w:val="none"/>
        </w:rPr>
        <w:t>。因延误维修造成人身伤亡或财产损失的乙方应负责赔偿。</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遵守国家安全生产和消防管理相关法规规定，负责物业的消防安全和安全生产，并按规定要求配置灭火器材；办理相关营业消防手续，不得在物业位内住宿、明火煮食、私拉乱接用电，不得存放易燃易爆有毒，有腐蚀性等列入国家危险品目录的物品或其他危险物品；不得违章占道经营。否则，视作乙方违约，甲方有权单方终止合同，合同履约保证金归甲方所有。如因乙方违反相关规定而发生意外事故，一切法律责任和经济责任由乙方承担。</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不得改变租赁物业结构或增设构筑物，如确需对租赁物业进行装修或增加设施，需征得甲方书面同意并由乙方</w:t>
      </w:r>
      <w:r>
        <w:rPr>
          <w:rFonts w:hint="eastAsia" w:ascii="仿宋" w:hAnsi="仿宋" w:eastAsia="仿宋" w:cs="仿宋"/>
          <w:color w:val="auto"/>
          <w:sz w:val="24"/>
          <w:szCs w:val="24"/>
          <w:highlight w:val="none"/>
          <w:lang w:val="en-US" w:eastAsia="zh-CN"/>
        </w:rPr>
        <w:t>合法合规</w:t>
      </w:r>
      <w:r>
        <w:rPr>
          <w:rFonts w:hint="eastAsia" w:ascii="仿宋" w:hAnsi="仿宋" w:eastAsia="仿宋" w:cs="仿宋"/>
          <w:color w:val="auto"/>
          <w:sz w:val="24"/>
          <w:szCs w:val="24"/>
          <w:highlight w:val="none"/>
        </w:rPr>
        <w:t>办理相关报建报批手续，且不得对物业结构构成影响，否则视作乙方违约，甲方有权单方终止合同，没收合同履约保证金，无偿收回出租物业，并赔偿由此造成甲方的经济损失。乙方须保证施工安全，因施工造成人身伤亡或财产损失的由乙方负责赔偿。</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合同期满，对乙方装修或增加设施甲方有权选择以下三种方式提出主张：</w:t>
      </w:r>
    </w:p>
    <w:p>
      <w:pPr>
        <w:pStyle w:val="114"/>
        <w:keepNext w:val="0"/>
        <w:keepLines w:val="0"/>
        <w:pageBreakBefore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（1）依附于承租物业的装修、增设构筑物及增加的嵌入式设施无偿归甲方所有；</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（2）要求乙方恢复原状；</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（3）向乙方收取恢复工程实际发生的费用。</w:t>
      </w:r>
    </w:p>
    <w:p>
      <w:pPr>
        <w:keepNext w:val="0"/>
        <w:keepLines w:val="0"/>
        <w:pageBreakBefore w:val="0"/>
        <w:widowControl/>
        <w:shd w:val="clear" w:color="auto" w:fill="FFFFFF"/>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不得擅自变更租赁物业</w:t>
      </w:r>
      <w:r>
        <w:rPr>
          <w:rFonts w:hint="eastAsia" w:ascii="仿宋" w:hAnsi="仿宋" w:eastAsia="仿宋" w:cs="仿宋"/>
          <w:color w:val="auto"/>
          <w:sz w:val="24"/>
          <w:szCs w:val="24"/>
          <w:highlight w:val="none"/>
        </w:rPr>
        <w:t>及其附属设施设施</w:t>
      </w:r>
      <w:r>
        <w:rPr>
          <w:rFonts w:hint="eastAsia" w:ascii="仿宋" w:hAnsi="仿宋" w:eastAsia="仿宋" w:cs="仿宋"/>
          <w:color w:val="auto"/>
          <w:kern w:val="0"/>
          <w:sz w:val="24"/>
          <w:szCs w:val="24"/>
          <w:highlight w:val="none"/>
        </w:rPr>
        <w:t>用途</w:t>
      </w:r>
      <w:r>
        <w:rPr>
          <w:rFonts w:hint="eastAsia" w:ascii="仿宋" w:hAnsi="仿宋" w:eastAsia="仿宋" w:cs="仿宋"/>
          <w:color w:val="auto"/>
          <w:sz w:val="24"/>
          <w:szCs w:val="24"/>
          <w:highlight w:val="none"/>
        </w:rPr>
        <w:t>，如确需改变，必须征得甲方书面同意后方可变更。</w:t>
      </w:r>
      <w:r>
        <w:rPr>
          <w:rFonts w:hint="eastAsia" w:ascii="仿宋" w:hAnsi="仿宋" w:eastAsia="仿宋" w:cs="仿宋"/>
          <w:color w:val="auto"/>
          <w:kern w:val="0"/>
          <w:sz w:val="24"/>
          <w:szCs w:val="24"/>
          <w:highlight w:val="none"/>
        </w:rPr>
        <w:t>否则，甲方有权单方解除本合同，并没收合同履约保证金，无偿收回承租物业，乙方擅自变更租赁用途所产生的法律责任由乙方自行承担。</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未经甲方书面同意，不得擅自转租租赁的物业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，否则甲方有权单方解除本合同，并没收合同履约保证金，无偿收回承租物业。</w:t>
      </w:r>
    </w:p>
    <w:p>
      <w:pPr>
        <w:keepNext w:val="0"/>
        <w:keepLines w:val="0"/>
        <w:pageBreakBefore w:val="0"/>
        <w:kinsoku/>
        <w:wordWrap/>
        <w:overflowPunct/>
        <w:topLinePunct w:val="0"/>
        <w:autoSpaceDE/>
        <w:autoSpaceDN/>
        <w:bidi w:val="0"/>
        <w:adjustRightInd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不得利用租赁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从事违法犯罪活动。</w:t>
      </w:r>
    </w:p>
    <w:p>
      <w:pPr>
        <w:keepNext w:val="0"/>
        <w:keepLines w:val="0"/>
        <w:pageBreakBefore w:val="0"/>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觉搞好租赁物业及其附属设施的进出通道卫生，在规定堆放处放置垃圾，不得占用公共道路堆放物品、器材，不得堵塞下水道，如因乙方造成损坏的，由乙方负责赔偿，乙方负责按照政府有关部门关于承租物业的周边的整治要求进行清洁保洁。</w:t>
      </w:r>
    </w:p>
    <w:p>
      <w:pPr>
        <w:keepNext w:val="0"/>
        <w:keepLines w:val="0"/>
        <w:pageBreakBefore w:val="0"/>
        <w:kinsoku/>
        <w:wordWrap/>
        <w:overflowPunct/>
        <w:topLinePunct w:val="0"/>
        <w:autoSpaceDE/>
        <w:bidi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转租</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（一）合同期内，乙方不得转租租赁的物业。如确需转租，须经甲方书面同意并签订转租补充合同，否则视作乙方违约，甲方有权单方终止合同，无偿收回出租的物业，合同履约保证金归甲方所有。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（二）如乙方经甲方同意进行转租，乙方必须遵守下列条款：</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本合同规定的甲乙双方的责任和权利不因转租而改变。</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负责转租期间的管理工作（包括向转租户收取租金等）。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转租期限不得超过乙方对甲方的承租期限；</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转租的用途不得超出本合同规定的用途；</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转租合同应列明“若因不可抗力原因提前终止本合同或乙方提前终止本合同，乙方与转租户的转租合同同时终止”。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转租户签署保证书，保证其同意履行乙方与甲方合同中有关转租行为的规定，并承诺与乙方就本合同的履行对甲方承担连带责任。在终止本合同时，转租合同同时终止，转租户无条件迁离租赁物业。乙方应将转租户签署的保证书原件及转租合同保证金归甲方所有。在转租合同签订后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3个工作</w:t>
      </w:r>
      <w:r>
        <w:rPr>
          <w:rFonts w:hint="eastAsia" w:ascii="仿宋" w:hAnsi="仿宋" w:eastAsia="仿宋" w:cs="仿宋"/>
          <w:color w:val="auto"/>
          <w:sz w:val="24"/>
          <w:szCs w:val="24"/>
          <w:highlight w:val="none"/>
        </w:rPr>
        <w:t>日内交甲方存档，否则作乙方违约处理，甲方有权解除合同，无偿收回出租物业。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负责因转租行为产生的一切纠纷及所造成的经济损失。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负责因转租而产生的税费。</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第七条  </w:t>
      </w:r>
      <w:r>
        <w:rPr>
          <w:rFonts w:hint="eastAsia" w:ascii="仿宋" w:hAnsi="仿宋" w:eastAsia="仿宋" w:cs="仿宋"/>
          <w:color w:val="auto"/>
          <w:sz w:val="24"/>
          <w:szCs w:val="24"/>
          <w:highlight w:val="none"/>
        </w:rPr>
        <w:t>合同期满，本合同自行终止，甲方无偿收回该物业及其附属设施。乙方如意向续租，须在合同期满前3个月向甲方提交意向续租申请书。</w:t>
      </w:r>
    </w:p>
    <w:p>
      <w:pPr>
        <w:pStyle w:val="114"/>
        <w:keepNext w:val="0"/>
        <w:keepLines w:val="0"/>
        <w:pageBreakBefore w:val="0"/>
        <w:kinsoku/>
        <w:wordWrap/>
        <w:overflowPunct/>
        <w:topLinePunct w:val="0"/>
        <w:autoSpaceDE/>
        <w:bidi w:val="0"/>
        <w:spacing w:line="520" w:lineRule="exact"/>
        <w:ind w:firstLine="600" w:firstLineChars="24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w:t>
      </w:r>
      <w:r>
        <w:rPr>
          <w:rFonts w:hint="eastAsia" w:ascii="仿宋" w:hAnsi="仿宋" w:eastAsia="仿宋" w:cs="仿宋"/>
          <w:b/>
          <w:bCs/>
          <w:color w:val="auto"/>
          <w:sz w:val="24"/>
          <w:szCs w:val="24"/>
          <w:highlight w:val="none"/>
        </w:rPr>
        <w:t>合同的变更、解除和终止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（一）本合同效力不受甲乙双方法人代表变动影响，也不因经济联社的分立或合并而变更或解除。</w:t>
      </w:r>
    </w:p>
    <w:p>
      <w:pPr>
        <w:pStyle w:val="114"/>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（二）任何一方不得随意终止合同，因不可抗力而不能履行合同除外。</w:t>
      </w:r>
    </w:p>
    <w:p>
      <w:pPr>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（三）合同相关条款需变更的，经甲乙双方协商后签订《补充协议》，但必须按照天河区</w:t>
      </w:r>
      <w:r>
        <w:rPr>
          <w:rFonts w:hint="eastAsia" w:ascii="仿宋" w:hAnsi="仿宋" w:eastAsia="仿宋" w:cs="仿宋"/>
          <w:color w:val="auto"/>
          <w:sz w:val="24"/>
          <w:szCs w:val="24"/>
          <w:highlight w:val="none"/>
          <w:lang w:eastAsia="zh-CN"/>
        </w:rPr>
        <w:t>农村集体资产</w:t>
      </w:r>
      <w:r>
        <w:rPr>
          <w:rFonts w:hint="eastAsia" w:ascii="仿宋" w:hAnsi="仿宋" w:eastAsia="仿宋" w:cs="仿宋"/>
          <w:color w:val="auto"/>
          <w:sz w:val="24"/>
          <w:szCs w:val="24"/>
          <w:highlight w:val="none"/>
        </w:rPr>
        <w:t>管理相关规定进行民主表决并公示后才能生效。</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（四）合同期内，如遇国家征收、</w:t>
      </w:r>
      <w:r>
        <w:rPr>
          <w:rFonts w:hint="eastAsia" w:ascii="仿宋" w:hAnsi="仿宋" w:eastAsia="仿宋" w:cs="仿宋"/>
          <w:color w:val="auto"/>
          <w:sz w:val="24"/>
          <w:szCs w:val="24"/>
          <w:highlight w:val="none"/>
          <w:lang w:eastAsia="zh-CN"/>
        </w:rPr>
        <w:t>征用该物业或甲方对该物业有重大改造时</w:t>
      </w:r>
      <w:r>
        <w:rPr>
          <w:rFonts w:hint="eastAsia" w:ascii="仿宋" w:hAnsi="仿宋" w:eastAsia="仿宋" w:cs="仿宋"/>
          <w:color w:val="auto"/>
          <w:sz w:val="24"/>
          <w:szCs w:val="24"/>
          <w:highlight w:val="none"/>
        </w:rPr>
        <w:t>，甲方应提前一个月通知乙方，乙方必须无条件服从，并按时搬迁，本合同自动终止，甲乙双方互不承担违约责任。乙方逾期搬迁的，物业内属于乙方的设施.物品的，视乙方自愿放弃，甲方有权自行处置。相关清理费用由乙方承担。征地补偿款、建筑物及设施补偿费属甲方所有，其他补偿费按有关政策规定执行；乙方租赁租金计付至实际交还物业及其附属设施之日。</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（六）乙方出现下列情况时，本租赁合同自行解除，甲方有权收回物业：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1、乙方为自然人的，自然人死亡时。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2、乙方为法人的，法人被注销时</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违约责任</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（一）甲乙双方任何一方有违反租赁合同的行为，违约一方应就违约行为给对方造成的经济损失进行赔偿。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（二）如任何一方违约，守约方为维护权益向违约方追偿的一切费用（包括但不限于律师费、诉讼费、保全费、交通费、差旅费、鉴定费等等）均由违约方承担。</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）乙方提前退租，保证金不予退还。乙方逾期支付租金或任何一项费用，每逾期一日，乙方须按欠款总额的</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向甲方支付</w:t>
      </w:r>
      <w:r>
        <w:rPr>
          <w:rFonts w:hint="eastAsia" w:ascii="仿宋" w:hAnsi="仿宋" w:eastAsia="仿宋" w:cs="仿宋"/>
          <w:color w:val="auto"/>
          <w:sz w:val="24"/>
          <w:szCs w:val="24"/>
          <w:highlight w:val="none"/>
          <w:lang w:eastAsia="zh-CN"/>
        </w:rPr>
        <w:t>违约金</w:t>
      </w:r>
      <w:r>
        <w:rPr>
          <w:rFonts w:hint="eastAsia" w:ascii="仿宋" w:hAnsi="仿宋" w:eastAsia="仿宋" w:cs="仿宋"/>
          <w:color w:val="auto"/>
          <w:sz w:val="24"/>
          <w:szCs w:val="24"/>
          <w:highlight w:val="none"/>
        </w:rPr>
        <w:t>。如果逾期</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日，甲方有权单方解除合同，同时没收乙方的保证金并无偿收回物业。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）如拖欠上述任何款项，乙方完全同意甲方对其在承租物业内的所有物资进行变卖，所得款项用于冲抵乙方的欠款，不足清偿的款项，甲方有权向乙方追偿。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）乙方擅自转租或转借物业、转让经营权，或擅自改变物业用途，或将甲方物业、物品用于担保，甲方有权解除合同，同时没收保证金及无偿收回物业，要求赔偿损失。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）如乙方未经甲方同意私自装修或擅自改变物业结构或在该物业内搭建阁楼的，甲方有权解除合同，同时没收保证金及无偿收回物业，并向乙方追偿损失。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）乙方未按甲方或政府有关职能部门消防整改要求进行消防安全整改的，甲方有权单方解除本合同，无偿收回物业，没收保证金，并向乙方追偿损失。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合同期内，乙方有下列行为之一的，视作乙方违约，甲方有权单方面终止合同，本租赁合同自甲方向乙方发出解除合同通知书送达的次日终止，合同履约保证金归甲方所有，并无偿收回所出租物业及其附属设施，同时有权追究乙方造成甲方的经济损失：</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未经甲方书面同意转租所承租物业及其附属设施的；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未经甲方书面同意擅自改变承租物业及其附属设施用途的；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未经甲方书面同意擅自拆改、变动承租物业或其附属设施的；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损坏物业或其附属设施，在甲方提出的合理期限内仍未修复的；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未经甲方书面同意及相关行政主管部门审批，擅自在承租物业及其附属设施上建设建筑物、构筑物或增加固定式设施的；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利用承租物业及其附属设施存放易燃、易爆、有毒、有腐蚀性等列入国家危险品目录的物品或其他危险物品或从事违法犯罪活动的；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逾期未交纳按约定应当由乙方交纳的各项费用，给甲方造成损失的；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拖欠租金</w:t>
      </w:r>
      <w:r>
        <w:rPr>
          <w:rFonts w:hint="eastAsia" w:ascii="仿宋" w:hAnsi="仿宋" w:eastAsia="仿宋" w:cs="仿宋"/>
          <w:color w:val="auto"/>
          <w:sz w:val="24"/>
          <w:szCs w:val="24"/>
          <w:highlight w:val="none"/>
          <w:lang w:val="en-US" w:eastAsia="zh-CN"/>
        </w:rPr>
        <w:t>及综合管理费</w:t>
      </w:r>
      <w:r>
        <w:rPr>
          <w:rFonts w:hint="eastAsia" w:ascii="仿宋" w:hAnsi="仿宋" w:eastAsia="仿宋" w:cs="仿宋"/>
          <w:iCs/>
          <w:color w:val="auto"/>
          <w:sz w:val="24"/>
          <w:szCs w:val="24"/>
          <w:highlight w:val="none"/>
          <w:u w:val="single"/>
        </w:rPr>
        <w:t xml:space="preserve">  30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天以上；</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在租赁物业内制作、销售假冒伪劣产品、侵犯他人知识产权或其他合法权益的。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违反消防法律法规经营使用承租物业的；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在承租物业内进行其他不法行为或经营非法业务的；</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经营①仓库；②幼儿园，未成年人托管和培训、老年人托管等机构；③用于生产、经营、存放列入国家危险品目录产品；④用作带有制造、加工等性质的工场或从事污染环境的项目和其他非法经营；</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highlight w:val="none"/>
          <w:lang w:val="en-US" w:eastAsia="zh-CN"/>
        </w:rPr>
      </w:pPr>
      <w:r>
        <w:rPr>
          <w:rFonts w:hint="eastAsia" w:ascii="仿宋" w:hAnsi="仿宋" w:eastAsia="仿宋" w:cs="仿宋"/>
          <w:b/>
          <w:color w:val="auto"/>
          <w:sz w:val="24"/>
          <w:szCs w:val="24"/>
          <w:highlight w:val="none"/>
        </w:rPr>
        <w:t>第十条   甲乙双方特别约定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一</w:t>
      </w:r>
      <w:r>
        <w:rPr>
          <w:rFonts w:hint="eastAsia" w:ascii="仿宋" w:hAnsi="仿宋" w:eastAsia="仿宋" w:cs="仿宋"/>
          <w:color w:val="auto"/>
          <w:sz w:val="24"/>
          <w:szCs w:val="24"/>
          <w:highlight w:val="none"/>
          <w:u w:val="single"/>
        </w:rPr>
        <w:t>、乙方在签订本合同的同时签署《</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》为本合同的组成部分，与本合同具同等法律效力，甲方有权协助政府相关部门监督乙方严格履行《</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》，乙方一旦违反责任书，视为严重违约，甲方有权解除本合同，无偿收回物业，并没收保证金，所引起的全部经济损失和法律责任由乙方自行承担。</w:t>
      </w:r>
    </w:p>
    <w:p>
      <w:pPr>
        <w:keepNext w:val="0"/>
        <w:keepLines w:val="0"/>
        <w:pageBreakBefore w:val="0"/>
        <w:kinsoku/>
        <w:wordWrap/>
        <w:overflowPunct/>
        <w:topLinePunct w:val="0"/>
        <w:autoSpaceDE/>
        <w:autoSpaceDN/>
        <w:bidi w:val="0"/>
        <w:snapToGrid/>
        <w:spacing w:line="460" w:lineRule="exact"/>
        <w:ind w:firstLine="56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二</w:t>
      </w:r>
      <w:r>
        <w:rPr>
          <w:rFonts w:hint="eastAsia" w:ascii="仿宋" w:hAnsi="仿宋" w:eastAsia="仿宋" w:cs="仿宋"/>
          <w:sz w:val="24"/>
          <w:szCs w:val="24"/>
          <w:highlight w:val="none"/>
          <w:u w:val="single"/>
          <w:lang w:eastAsia="zh-CN"/>
        </w:rPr>
        <w:t>、</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确认，</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竞投前已经自行通过现场踏勘及向相关部门咨询等多种方式对租赁场地之现状、用途等进行充分了解，已完全知悉并评估场地办理工商登记等经营手续的所有风险。</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保证不以</w:t>
      </w:r>
      <w:r>
        <w:rPr>
          <w:rFonts w:hint="eastAsia" w:ascii="仿宋" w:hAnsi="仿宋" w:eastAsia="仿宋" w:cs="仿宋"/>
          <w:color w:val="auto"/>
          <w:spacing w:val="0"/>
          <w:position w:val="0"/>
          <w:sz w:val="24"/>
          <w:szCs w:val="24"/>
          <w:highlight w:val="none"/>
          <w:u w:val="single"/>
          <w:shd w:val="clear" w:color="auto" w:fill="auto"/>
          <w:lang w:eastAsia="zh-CN"/>
        </w:rPr>
        <w:t>租赁场地现状及办理相关手续结果为理由</w:t>
      </w:r>
      <w:r>
        <w:rPr>
          <w:rFonts w:hint="eastAsia" w:ascii="仿宋" w:hAnsi="仿宋" w:eastAsia="仿宋" w:cs="仿宋"/>
          <w:color w:val="auto"/>
          <w:spacing w:val="0"/>
          <w:position w:val="0"/>
          <w:sz w:val="24"/>
          <w:szCs w:val="24"/>
          <w:highlight w:val="none"/>
          <w:u w:val="single"/>
          <w:shd w:val="clear" w:color="auto" w:fill="auto"/>
        </w:rPr>
        <w:t>解除租赁合同、拖欠租金或要求减免租金等，否则视为</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严重违约,</w:t>
      </w:r>
      <w:r>
        <w:rPr>
          <w:rFonts w:hint="eastAsia" w:ascii="仿宋" w:hAnsi="仿宋" w:eastAsia="仿宋" w:cs="仿宋"/>
          <w:color w:val="auto"/>
          <w:spacing w:val="0"/>
          <w:position w:val="0"/>
          <w:sz w:val="24"/>
          <w:szCs w:val="24"/>
          <w:highlight w:val="none"/>
          <w:u w:val="single"/>
          <w:shd w:val="clear" w:color="auto" w:fill="auto"/>
          <w:lang w:eastAsia="zh-CN"/>
        </w:rPr>
        <w:t>甲方</w:t>
      </w:r>
      <w:r>
        <w:rPr>
          <w:rFonts w:hint="eastAsia" w:ascii="仿宋" w:hAnsi="仿宋" w:eastAsia="仿宋" w:cs="仿宋"/>
          <w:color w:val="auto"/>
          <w:spacing w:val="0"/>
          <w:position w:val="0"/>
          <w:sz w:val="24"/>
          <w:szCs w:val="24"/>
          <w:highlight w:val="none"/>
          <w:u w:val="single"/>
          <w:shd w:val="clear" w:color="auto" w:fill="auto"/>
        </w:rPr>
        <w:t>有权按照租赁合同追究</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的违约责任。</w:t>
      </w:r>
    </w:p>
    <w:p>
      <w:pPr>
        <w:keepNext w:val="0"/>
        <w:keepLines w:val="0"/>
        <w:pageBreakBefore w:val="0"/>
        <w:kinsoku/>
        <w:wordWrap/>
        <w:overflowPunct/>
        <w:topLinePunct w:val="0"/>
        <w:autoSpaceDE/>
        <w:bidi w:val="0"/>
        <w:adjustRightInd w:val="0"/>
        <w:spacing w:line="5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第十一条</w:t>
      </w:r>
      <w:r>
        <w:rPr>
          <w:rFonts w:hint="eastAsia" w:ascii="仿宋" w:hAnsi="仿宋" w:eastAsia="仿宋" w:cs="仿宋"/>
          <w:color w:val="auto"/>
          <w:sz w:val="24"/>
          <w:szCs w:val="24"/>
          <w:highlight w:val="none"/>
        </w:rPr>
        <w:t xml:space="preserve">  本合同履行中如发生纠纷，由争议双方协商解决；协商不成，由</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相关管理部门调解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也可向甲方所在地的人民法院申请诉讼。</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第十二条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其他约定事项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通知和送达</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甲乙双方因履行本合同而相互发出或者提供的所有通知、文件、资料，均以以下列明的地址、邮箱、传真送达，一方如果迁赶址或者变更传真、电话、邮箱的，应当书面通知对方。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甲方地址：广州市天河区濂泉路21号    邮编：510500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联系部门：办公室       联系电话：020-37270389   </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乙方联系人：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联系电话：</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电子邮箱：</w:t>
      </w:r>
      <w:r>
        <w:rPr>
          <w:rFonts w:hint="eastAsia" w:ascii="仿宋" w:hAnsi="仿宋" w:eastAsia="仿宋" w:cs="仿宋"/>
          <w:color w:val="auto"/>
          <w:sz w:val="24"/>
          <w:szCs w:val="24"/>
          <w:highlight w:val="none"/>
          <w:u w:val="single"/>
          <w:lang w:val="en-US" w:eastAsia="zh-CN"/>
        </w:rPr>
        <w:t xml:space="preserve">                 /                               </w:t>
      </w:r>
    </w:p>
    <w:p>
      <w:pPr>
        <w:keepNext w:val="0"/>
        <w:keepLines w:val="0"/>
        <w:pageBreakBefore w:val="0"/>
        <w:numPr>
          <w:ilvl w:val="0"/>
          <w:numId w:val="0"/>
        </w:numPr>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当面交付文件的，在交付之时视为送达；通过传真方式的，在发出传真时视为送达；以邮寄方式的，挂号寄出或者投邮当日视为送达。</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本合同未尽事宜，甲乙双方可以签订补充合同，补充合同与本合同具有同等法律效力。</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条   合同生效条件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本合同在甲乙双方签字盖章后与下列条件同时生效：</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1、乙方按时足额缴纳合同保证金后；</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2、本合同及《</w:t>
      </w:r>
      <w:r>
        <w:rPr>
          <w:rFonts w:hint="eastAsia" w:ascii="仿宋" w:hAnsi="仿宋" w:eastAsia="仿宋" w:cs="仿宋"/>
          <w:color w:val="auto"/>
          <w:sz w:val="24"/>
          <w:szCs w:val="24"/>
          <w:highlight w:val="none"/>
          <w:lang w:eastAsia="zh-CN"/>
        </w:rPr>
        <w:t>消防安全责任协议书</w:t>
      </w:r>
      <w:r>
        <w:rPr>
          <w:rFonts w:hint="eastAsia" w:ascii="仿宋" w:hAnsi="仿宋" w:eastAsia="仿宋" w:cs="仿宋"/>
          <w:color w:val="auto"/>
          <w:sz w:val="24"/>
          <w:szCs w:val="24"/>
          <w:highlight w:val="none"/>
        </w:rPr>
        <w:t>》经甲乙双方签字盖章后。</w:t>
      </w:r>
    </w:p>
    <w:p>
      <w:pPr>
        <w:keepNext w:val="0"/>
        <w:keepLines w:val="0"/>
        <w:pageBreakBefore w:val="0"/>
        <w:widowControl/>
        <w:kinsoku/>
        <w:wordWrap/>
        <w:overflowPunct/>
        <w:topLinePunct w:val="0"/>
        <w:autoSpaceDE/>
        <w:bidi w:val="0"/>
        <w:spacing w:line="520" w:lineRule="exact"/>
        <w:ind w:right="420" w:rightChars="20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3、乙方未按时缴纳足额保证金的，本合同自行解除，甲方有权将该物业另行出租。           </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w:t>
      </w:r>
      <w:bookmarkStart w:id="34" w:name="OLE_LINK1"/>
      <w:r>
        <w:rPr>
          <w:rFonts w:hint="eastAsia" w:ascii="仿宋" w:hAnsi="仿宋" w:eastAsia="仿宋" w:cs="仿宋"/>
          <w:color w:val="auto"/>
          <w:kern w:val="0"/>
          <w:sz w:val="24"/>
          <w:szCs w:val="24"/>
          <w:highlight w:val="none"/>
        </w:rPr>
        <w:t>本合同</w:t>
      </w:r>
      <w:r>
        <w:rPr>
          <w:rFonts w:hint="eastAsia" w:ascii="仿宋" w:hAnsi="仿宋" w:eastAsia="仿宋" w:cs="仿宋"/>
          <w:color w:val="auto"/>
          <w:kern w:val="0"/>
          <w:sz w:val="24"/>
          <w:szCs w:val="24"/>
          <w:highlight w:val="none"/>
          <w:lang w:eastAsia="zh-CN"/>
        </w:rPr>
        <w:t>壹</w:t>
      </w:r>
      <w:r>
        <w:rPr>
          <w:rFonts w:hint="eastAsia" w:ascii="仿宋" w:hAnsi="仿宋" w:eastAsia="仿宋" w:cs="仿宋"/>
          <w:color w:val="auto"/>
          <w:kern w:val="0"/>
          <w:sz w:val="24"/>
          <w:szCs w:val="24"/>
          <w:highlight w:val="none"/>
        </w:rPr>
        <w:t>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份，甲执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份，乙执</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w:t>
      </w:r>
      <w:r>
        <w:rPr>
          <w:rFonts w:hint="eastAsia" w:ascii="仿宋" w:hAnsi="仿宋" w:eastAsia="仿宋" w:cs="仿宋"/>
          <w:kern w:val="0"/>
          <w:sz w:val="24"/>
          <w:szCs w:val="24"/>
          <w:highlight w:val="none"/>
          <w:u w:val="none"/>
        </w:rPr>
        <w:t>交易</w:t>
      </w:r>
      <w:r>
        <w:rPr>
          <w:rFonts w:hint="eastAsia" w:ascii="仿宋" w:hAnsi="仿宋" w:eastAsia="仿宋" w:cs="仿宋"/>
          <w:kern w:val="0"/>
          <w:sz w:val="24"/>
          <w:szCs w:val="24"/>
          <w:highlight w:val="none"/>
          <w:u w:val="none"/>
          <w:lang w:eastAsia="zh-CN"/>
        </w:rPr>
        <w:t>服务</w:t>
      </w:r>
      <w:r>
        <w:rPr>
          <w:rFonts w:hint="eastAsia" w:ascii="仿宋" w:hAnsi="仿宋" w:eastAsia="仿宋" w:cs="仿宋"/>
          <w:kern w:val="0"/>
          <w:sz w:val="24"/>
          <w:szCs w:val="24"/>
          <w:highlight w:val="none"/>
          <w:u w:val="none"/>
        </w:rPr>
        <w:t>机构</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份，每份合同具同等法律效力。</w:t>
      </w:r>
      <w:bookmarkEnd w:id="34"/>
    </w:p>
    <w:p>
      <w:pPr>
        <w:adjustRightInd w:val="0"/>
        <w:spacing w:line="360" w:lineRule="auto"/>
        <w:jc w:val="left"/>
        <w:rPr>
          <w:rFonts w:hint="eastAsia" w:ascii="仿宋" w:hAnsi="仿宋" w:eastAsia="仿宋" w:cs="仿宋"/>
          <w:sz w:val="24"/>
          <w:szCs w:val="24"/>
          <w:highlight w:val="none"/>
        </w:rPr>
      </w:pP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甲方</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w:t>
            </w:r>
          </w:p>
        </w:tc>
      </w:tr>
      <w:tr>
        <w:tblPrEx>
          <w:tblCellMar>
            <w:top w:w="0" w:type="dxa"/>
            <w:left w:w="108" w:type="dxa"/>
            <w:bottom w:w="0" w:type="dxa"/>
            <w:right w:w="108" w:type="dxa"/>
          </w:tblCellMar>
        </w:tblPrEx>
        <w:trPr>
          <w:cantSplit/>
          <w:trHeight w:val="132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广州市沙东有利</w:t>
            </w:r>
            <w:r>
              <w:rPr>
                <w:rFonts w:hint="eastAsia" w:ascii="仿宋" w:hAnsi="仿宋" w:eastAsia="仿宋" w:cs="仿宋"/>
                <w:kern w:val="0"/>
                <w:sz w:val="24"/>
                <w:szCs w:val="24"/>
                <w:highlight w:val="none"/>
                <w:lang w:val="en-US" w:eastAsia="zh-CN"/>
              </w:rPr>
              <w:t>国际</w:t>
            </w:r>
          </w:p>
          <w:p>
            <w:pPr>
              <w:widowControl/>
              <w:spacing w:line="4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服装批发城</w:t>
            </w:r>
            <w:r>
              <w:rPr>
                <w:rFonts w:hint="eastAsia" w:ascii="仿宋" w:hAnsi="仿宋" w:eastAsia="仿宋" w:cs="仿宋"/>
                <w:kern w:val="0"/>
                <w:sz w:val="24"/>
                <w:szCs w:val="24"/>
                <w:highlight w:val="none"/>
                <w:lang w:eastAsia="zh-CN"/>
              </w:rPr>
              <w:t>有限公司</w:t>
            </w:r>
          </w:p>
          <w:p>
            <w:pPr>
              <w:widowControl/>
              <w:spacing w:line="400" w:lineRule="exact"/>
              <w:jc w:val="center"/>
              <w:rPr>
                <w:rFonts w:hint="eastAsia" w:ascii="仿宋" w:hAnsi="仿宋" w:eastAsia="仿宋" w:cs="仿宋"/>
                <w:kern w:val="0"/>
                <w:sz w:val="24"/>
                <w:szCs w:val="24"/>
                <w:highlight w:val="none"/>
                <w:lang w:eastAsia="zh-CN"/>
              </w:rPr>
            </w:pP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both"/>
              <w:rPr>
                <w:rFonts w:hint="eastAsia" w:ascii="仿宋" w:hAnsi="仿宋" w:eastAsia="仿宋" w:cs="仿宋"/>
                <w:kern w:val="0"/>
                <w:sz w:val="24"/>
                <w:szCs w:val="24"/>
                <w:highlight w:val="none"/>
              </w:rPr>
            </w:pPr>
          </w:p>
          <w:p>
            <w:pPr>
              <w:widowControl/>
              <w:spacing w:line="400" w:lineRule="exact"/>
              <w:jc w:val="both"/>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cantSplit/>
          <w:trHeight w:val="110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eastAsia="zh-CN"/>
              </w:rPr>
              <w:t>广州市天河区</w:t>
            </w:r>
            <w:r>
              <w:rPr>
                <w:rFonts w:hint="eastAsia" w:ascii="仿宋" w:hAnsi="仿宋" w:eastAsia="仿宋" w:cs="仿宋"/>
                <w:kern w:val="0"/>
                <w:sz w:val="24"/>
                <w:szCs w:val="24"/>
                <w:highlight w:val="none"/>
                <w:lang w:val="en-US" w:eastAsia="zh-CN"/>
              </w:rPr>
              <w:t>濂泉路21号</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p>
        </w:tc>
      </w:tr>
      <w:tr>
        <w:tblPrEx>
          <w:tblCellMar>
            <w:top w:w="0" w:type="dxa"/>
            <w:left w:w="108" w:type="dxa"/>
            <w:bottom w:w="0" w:type="dxa"/>
            <w:right w:w="108" w:type="dxa"/>
          </w:tblCellMar>
        </w:tblPrEx>
        <w:trPr>
          <w:cantSplit/>
          <w:trHeight w:val="1223"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（签名）：</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tc>
      </w:tr>
      <w:tr>
        <w:tblPrEx>
          <w:tblCellMar>
            <w:top w:w="0" w:type="dxa"/>
            <w:left w:w="108" w:type="dxa"/>
            <w:bottom w:w="0" w:type="dxa"/>
            <w:right w:w="108" w:type="dxa"/>
          </w:tblCellMar>
        </w:tblPrEx>
        <w:trPr>
          <w:cantSplit/>
          <w:trHeight w:val="94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身份证号码：</w:t>
            </w:r>
          </w:p>
          <w:p>
            <w:pPr>
              <w:widowControl/>
              <w:spacing w:line="400" w:lineRule="exact"/>
              <w:rPr>
                <w:rFonts w:hint="eastAsia" w:ascii="仿宋" w:hAnsi="仿宋" w:eastAsia="仿宋" w:cs="仿宋"/>
                <w:sz w:val="24"/>
                <w:szCs w:val="24"/>
                <w:highlight w:val="none"/>
              </w:rPr>
            </w:pP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法定代表人身份证号码：</w:t>
            </w:r>
          </w:p>
          <w:p>
            <w:pPr>
              <w:widowControl/>
              <w:spacing w:line="400" w:lineRule="exac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cantSplit/>
          <w:trHeight w:val="92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020-37395653</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合同见证人</w:t>
            </w:r>
          </w:p>
        </w:tc>
      </w:tr>
      <w:tr>
        <w:tblPrEx>
          <w:tblCellMar>
            <w:top w:w="0" w:type="dxa"/>
            <w:left w:w="108" w:type="dxa"/>
            <w:bottom w:w="0" w:type="dxa"/>
            <w:right w:w="108" w:type="dxa"/>
          </w:tblCellMar>
        </w:tblPrEx>
        <w:trPr>
          <w:cantSplit/>
          <w:trHeight w:val="18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w:t>
            </w:r>
          </w:p>
        </w:tc>
      </w:tr>
    </w:tbl>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现状图：</w:t>
      </w:r>
    </w:p>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r>
        <w:rPr>
          <w:rFonts w:hint="default" w:ascii="仿宋" w:hAnsi="仿宋" w:eastAsia="仿宋" w:cs="仿宋"/>
          <w:b/>
          <w:bCs/>
          <w:sz w:val="44"/>
          <w:szCs w:val="44"/>
          <w:highlight w:val="none"/>
          <w:lang w:val="en-US" w:eastAsia="zh-CN"/>
        </w:rPr>
        <w:drawing>
          <wp:inline distT="0" distB="0" distL="114300" distR="114300">
            <wp:extent cx="5888990" cy="3312160"/>
            <wp:effectExtent l="0" t="0" r="16510" b="2540"/>
            <wp:docPr id="5" name="图片 5" descr="A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14"/>
                    <pic:cNvPicPr>
                      <a:picLocks noChangeAspect="1"/>
                    </pic:cNvPicPr>
                  </pic:nvPicPr>
                  <pic:blipFill>
                    <a:blip r:embed="rId11"/>
                    <a:stretch>
                      <a:fillRect/>
                    </a:stretch>
                  </pic:blipFill>
                  <pic:spPr>
                    <a:xfrm>
                      <a:off x="0" y="0"/>
                      <a:ext cx="5888990" cy="3312160"/>
                    </a:xfrm>
                    <a:prstGeom prst="rect">
                      <a:avLst/>
                    </a:prstGeom>
                  </pic:spPr>
                </pic:pic>
              </a:graphicData>
            </a:graphic>
          </wp:inline>
        </w:drawing>
      </w: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sectPr>
          <w:footerReference r:id="rId9" w:type="first"/>
          <w:headerReference r:id="rId7" w:type="default"/>
          <w:footerReference r:id="rId8" w:type="default"/>
          <w:type w:val="continuous"/>
          <w:pgSz w:w="11906" w:h="16838"/>
          <w:pgMar w:top="1304" w:right="1304" w:bottom="1247" w:left="1304" w:header="851" w:footer="907" w:gutter="0"/>
          <w:pgNumType w:fmt="decimal"/>
          <w:cols w:space="720" w:num="1"/>
          <w:titlePg/>
          <w:docGrid w:linePitch="312" w:charSpace="0"/>
        </w:sectPr>
      </w:pPr>
      <w:bookmarkStart w:id="35" w:name="_GoBack"/>
      <w:bookmarkEnd w:id="35"/>
    </w:p>
    <w:p>
      <w:pPr>
        <w:jc w:val="both"/>
        <w:rPr>
          <w:rFonts w:hint="eastAsia" w:ascii="仿宋" w:hAnsi="仿宋" w:eastAsia="仿宋" w:cs="仿宋"/>
          <w:b/>
          <w:bCs/>
          <w:sz w:val="44"/>
          <w:szCs w:val="44"/>
          <w:highlight w:val="none"/>
          <w:lang w:val="en-US" w:eastAsia="zh-CN"/>
        </w:rPr>
      </w:pPr>
    </w:p>
    <w:p>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消防安全责任协议书</w:t>
      </w:r>
    </w:p>
    <w:p>
      <w:pPr>
        <w:jc w:val="both"/>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甲方（出租方）：</w:t>
      </w:r>
      <w:r>
        <w:rPr>
          <w:rFonts w:hint="eastAsia" w:ascii="仿宋" w:hAnsi="仿宋" w:eastAsia="仿宋" w:cs="仿宋"/>
          <w:color w:val="auto"/>
          <w:sz w:val="24"/>
          <w:szCs w:val="24"/>
          <w:highlight w:val="none"/>
          <w:u w:val="single"/>
          <w:lang w:val="en-US" w:eastAsia="zh-CN"/>
        </w:rPr>
        <w:t xml:space="preserve"> 广州市沙东有利国际服装批发城有限公司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乙方（承租方）：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贯彻《中华人民共和国消防法》的实施和执行，落实“预防为主，防消结合”的消防方针，严格消防监督管理，加强消防管理力度，防止火灾发生，减少火灾损失，保障甲、乙双方的经营秩序正常运作及人员、财产的安全。根据“谁使用，谁负责”的消防责任界定原则，明确乙方承租甲方位于</w:t>
      </w:r>
      <w:r>
        <w:rPr>
          <w:rFonts w:hint="eastAsia" w:ascii="仿宋" w:hAnsi="仿宋" w:eastAsia="仿宋" w:cs="仿宋"/>
          <w:sz w:val="24"/>
          <w:szCs w:val="24"/>
          <w:highlight w:val="none"/>
          <w:u w:val="single"/>
          <w:lang w:val="en-US" w:eastAsia="zh-CN"/>
        </w:rPr>
        <w:t xml:space="preserve"> 广州市天河区濂泉路21号沙东有利国际服装批发城#A014</w:t>
      </w:r>
      <w:r>
        <w:rPr>
          <w:rFonts w:hint="eastAsia" w:ascii="仿宋" w:hAnsi="仿宋" w:eastAsia="仿宋" w:cs="仿宋"/>
          <w:sz w:val="24"/>
          <w:szCs w:val="24"/>
          <w:highlight w:val="none"/>
        </w:rPr>
        <w:t>场地物业的消防责任，特签订本消防安全协议书，具体约定如下：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一、甲方责任义务：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1、对乙方的消防安全负有监督、检查责任。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2、根据相关防火工作要求，定期开展消防安全知识宣传和消防逃生演练等活动。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3、甲方将不定期对乙方进行消防安全检查，并下发安全整改通知书。乙方需无条件地在整改限期内完成整改。乙方若不履行整改的，甲方有权终止租赁合同。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二、乙方责任义务：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1、对使用的出租场所（商铺）的消防安全负主体责任，因乙方原因发生火灾事故造成甲、乙双方财产损失或人员伤亡的，由乙方负责赔偿。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2、对承租的场地（商铺）改变使用性质、装修、装饰，须先书面通知甲方，经甲方同意并报公安消防部门批准后方可变更或施工。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保证承租场地（商铺）符合《消防法》规定的使用要求，消防设施设备要完好，按照消防法规的要求配备消防器材并对其进行维护保养。乙方必须保持消防疏散通道的畅通，严禁在走道、楼梯间出入口位置堆放杂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4、应做好日常的消防安全管理工作，制定消防安全责任制，对员工进行消防安全教育培训和宣传，严格执行用电、值班、巡查等制度。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应自觉服从消防部门和甲方的监督检查，对检查中提出的消防隐患问题，要及时进行整改。因乙方消防安全问题所受到的处罚，乙方应无条件接受。若因此给甲方造成经济损失及其他损失的，由乙方负责赔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1、因甲方未履行本协议书规定的内容，造成乙方损失的，由甲方负责经济赔偿和承担相应的责任。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2、因乙方未履行本协议书规定的内容，乙方违反消防法规，给甲方造成损失的，由乙方负责经济赔偿，并承担相应的法律责任。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73"/>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本协议一式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份，乙方</w:t>
      </w:r>
      <w:r>
        <w:rPr>
          <w:rFonts w:hint="eastAsia" w:ascii="仿宋" w:hAnsi="仿宋" w:eastAsia="仿宋" w:cs="仿宋"/>
          <w:sz w:val="24"/>
          <w:szCs w:val="24"/>
          <w:highlight w:val="none"/>
          <w:lang w:eastAsia="zh-CN"/>
        </w:rPr>
        <w:t>壹</w:t>
      </w:r>
      <w:r>
        <w:rPr>
          <w:rFonts w:hint="eastAsia" w:ascii="仿宋" w:hAnsi="仿宋" w:eastAsia="仿宋" w:cs="仿宋"/>
          <w:sz w:val="24"/>
          <w:szCs w:val="24"/>
          <w:highlight w:val="none"/>
        </w:rPr>
        <w:t>份，自双方法定代表人或授权委托人签字并盖章之日起与租赁合同同时生效，作为租赁合同的附件，是租赁合同的重要组成部分。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7"/>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广州市沙东有利国际</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服装批发城有限公司</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（章）</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法定代表人签字：</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（或委托代理人）</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sectPr>
          <w:type w:val="continuous"/>
          <w:pgSz w:w="11906" w:h="16838"/>
          <w:pgMar w:top="1304" w:right="1304" w:bottom="1247" w:left="1304" w:header="851" w:footer="907"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pPr>
    </w:p>
    <w:sectPr>
      <w:type w:val="continuous"/>
      <w:pgSz w:w="11906" w:h="16838"/>
      <w:pgMar w:top="1304" w:right="1304" w:bottom="1247" w:left="1304"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pPr>
      <w:pStyle w:val="34"/>
      <w:ind w:firstLine="1710" w:firstLineChars="9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val="none" w:color="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95FE"/>
    <w:multiLevelType w:val="singleLevel"/>
    <w:tmpl w:val="8F9D95FE"/>
    <w:lvl w:ilvl="0" w:tentative="0">
      <w:start w:val="2"/>
      <w:numFmt w:val="chineseCounting"/>
      <w:suff w:val="nothing"/>
      <w:lvlText w:val="（%1）"/>
      <w:lvlJc w:val="left"/>
      <w:rPr>
        <w:rFonts w:hint="eastAsia"/>
      </w:rPr>
    </w:lvl>
  </w:abstractNum>
  <w:abstractNum w:abstractNumId="1">
    <w:nsid w:val="9634E161"/>
    <w:multiLevelType w:val="singleLevel"/>
    <w:tmpl w:val="9634E161"/>
    <w:lvl w:ilvl="0" w:tentative="0">
      <w:start w:val="1"/>
      <w:numFmt w:val="chineseCounting"/>
      <w:suff w:val="nothing"/>
      <w:lvlText w:val="（%1）"/>
      <w:lvlJc w:val="left"/>
      <w:pPr>
        <w:ind w:left="-70"/>
      </w:pPr>
      <w:rPr>
        <w:rFonts w:hint="eastAsia"/>
      </w:rPr>
    </w:lvl>
  </w:abstractNum>
  <w:abstractNum w:abstractNumId="2">
    <w:nsid w:val="9F6B94DE"/>
    <w:multiLevelType w:val="singleLevel"/>
    <w:tmpl w:val="9F6B94DE"/>
    <w:lvl w:ilvl="0" w:tentative="0">
      <w:start w:val="3"/>
      <w:numFmt w:val="chineseCounting"/>
      <w:suff w:val="space"/>
      <w:lvlText w:val="第%1部分"/>
      <w:lvlJc w:val="left"/>
      <w:rPr>
        <w:rFonts w:hint="eastAsia"/>
      </w:rPr>
    </w:lvl>
  </w:abstractNum>
  <w:abstractNum w:abstractNumId="3">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4">
    <w:nsid w:val="00000001"/>
    <w:multiLevelType w:val="multilevel"/>
    <w:tmpl w:val="00000001"/>
    <w:lvl w:ilvl="0" w:tentative="0">
      <w:start w:val="1"/>
      <w:numFmt w:val="chineseCountingThousand"/>
      <w:pStyle w:val="73"/>
      <w:lvlText w:val="%1"/>
      <w:lvlJc w:val="left"/>
      <w:pPr>
        <w:tabs>
          <w:tab w:val="left" w:pos="420"/>
        </w:tabs>
        <w:ind w:left="420" w:hanging="420"/>
      </w:pPr>
      <w:rPr>
        <w:rFonts w:hint="eastAsia"/>
        <w:b/>
        <w:i w:val="0"/>
        <w:sz w:val="28"/>
        <w:szCs w:val="28"/>
      </w:rPr>
    </w:lvl>
    <w:lvl w:ilvl="1" w:tentative="0">
      <w:start w:val="1"/>
      <w:numFmt w:val="none"/>
      <w:pStyle w:val="105"/>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7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2965036"/>
    <w:multiLevelType w:val="singleLevel"/>
    <w:tmpl w:val="02965036"/>
    <w:lvl w:ilvl="0" w:tentative="0">
      <w:start w:val="2"/>
      <w:numFmt w:val="chineseCounting"/>
      <w:suff w:val="nothing"/>
      <w:lvlText w:val="（%1）"/>
      <w:lvlJc w:val="left"/>
      <w:rPr>
        <w:rFonts w:hint="eastAsia"/>
      </w:rPr>
    </w:lvl>
  </w:abstractNum>
  <w:abstractNum w:abstractNumId="6">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7">
    <w:nsid w:val="76E097BA"/>
    <w:multiLevelType w:val="singleLevel"/>
    <w:tmpl w:val="76E097BA"/>
    <w:lvl w:ilvl="0" w:tentative="0">
      <w:start w:val="1"/>
      <w:numFmt w:val="chineseCounting"/>
      <w:suff w:val="nothing"/>
      <w:lvlText w:val="（%1）"/>
      <w:lvlJc w:val="left"/>
      <w:rPr>
        <w:rFonts w:hint="eastAsia"/>
      </w:r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2Y4YzQ0N2IxMGYyNzc0NmM5Y2JiY2RiODAxZmYifQ=="/>
  </w:docVars>
  <w:rsids>
    <w:rsidRoot w:val="32585C33"/>
    <w:rsid w:val="00001730"/>
    <w:rsid w:val="000023A1"/>
    <w:rsid w:val="00003D20"/>
    <w:rsid w:val="00004D03"/>
    <w:rsid w:val="000112B9"/>
    <w:rsid w:val="000143B4"/>
    <w:rsid w:val="00017919"/>
    <w:rsid w:val="0002539A"/>
    <w:rsid w:val="00026A74"/>
    <w:rsid w:val="000303AA"/>
    <w:rsid w:val="00032D58"/>
    <w:rsid w:val="0003415F"/>
    <w:rsid w:val="000360C1"/>
    <w:rsid w:val="0003658D"/>
    <w:rsid w:val="00036E82"/>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55D1"/>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DFD"/>
    <w:rsid w:val="001158E8"/>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66D46"/>
    <w:rsid w:val="001703C8"/>
    <w:rsid w:val="001711C6"/>
    <w:rsid w:val="001718F8"/>
    <w:rsid w:val="00172432"/>
    <w:rsid w:val="00172A27"/>
    <w:rsid w:val="00174C10"/>
    <w:rsid w:val="001774A7"/>
    <w:rsid w:val="00181843"/>
    <w:rsid w:val="0018207D"/>
    <w:rsid w:val="0018558F"/>
    <w:rsid w:val="00186D59"/>
    <w:rsid w:val="00191980"/>
    <w:rsid w:val="00192335"/>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0FC7"/>
    <w:rsid w:val="001E19FD"/>
    <w:rsid w:val="001E2A71"/>
    <w:rsid w:val="001E3EC1"/>
    <w:rsid w:val="001E4EA0"/>
    <w:rsid w:val="001F1DD9"/>
    <w:rsid w:val="001F4C1E"/>
    <w:rsid w:val="001F4D76"/>
    <w:rsid w:val="001F61C7"/>
    <w:rsid w:val="001F6CF0"/>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274A"/>
    <w:rsid w:val="002432AB"/>
    <w:rsid w:val="00243D73"/>
    <w:rsid w:val="00244132"/>
    <w:rsid w:val="00244D4F"/>
    <w:rsid w:val="002454B7"/>
    <w:rsid w:val="00247ADA"/>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226"/>
    <w:rsid w:val="003D4316"/>
    <w:rsid w:val="003D559E"/>
    <w:rsid w:val="003D5F83"/>
    <w:rsid w:val="003D6BD7"/>
    <w:rsid w:val="003E080C"/>
    <w:rsid w:val="003E0964"/>
    <w:rsid w:val="003E5277"/>
    <w:rsid w:val="003E5563"/>
    <w:rsid w:val="003E6E8F"/>
    <w:rsid w:val="003F0630"/>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51BA3"/>
    <w:rsid w:val="00451EA2"/>
    <w:rsid w:val="0045248F"/>
    <w:rsid w:val="00452B9B"/>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B7ECB"/>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2E27"/>
    <w:rsid w:val="005C3081"/>
    <w:rsid w:val="005C3731"/>
    <w:rsid w:val="005C4589"/>
    <w:rsid w:val="005D568F"/>
    <w:rsid w:val="005D58A8"/>
    <w:rsid w:val="005E1C38"/>
    <w:rsid w:val="005E4D71"/>
    <w:rsid w:val="005E5AFA"/>
    <w:rsid w:val="005E762D"/>
    <w:rsid w:val="005F4BA4"/>
    <w:rsid w:val="005F579D"/>
    <w:rsid w:val="005F584D"/>
    <w:rsid w:val="005F5BE5"/>
    <w:rsid w:val="005F7B2F"/>
    <w:rsid w:val="0060191C"/>
    <w:rsid w:val="00602B12"/>
    <w:rsid w:val="006053F4"/>
    <w:rsid w:val="00605CF9"/>
    <w:rsid w:val="00607A8B"/>
    <w:rsid w:val="00610E44"/>
    <w:rsid w:val="00611E45"/>
    <w:rsid w:val="0061413E"/>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3B00"/>
    <w:rsid w:val="00664675"/>
    <w:rsid w:val="00665A56"/>
    <w:rsid w:val="006661BB"/>
    <w:rsid w:val="0066692E"/>
    <w:rsid w:val="006701EA"/>
    <w:rsid w:val="00670660"/>
    <w:rsid w:val="00671B54"/>
    <w:rsid w:val="00672314"/>
    <w:rsid w:val="00672F5D"/>
    <w:rsid w:val="006809F1"/>
    <w:rsid w:val="00680DDC"/>
    <w:rsid w:val="00682EB7"/>
    <w:rsid w:val="00685C65"/>
    <w:rsid w:val="00685F29"/>
    <w:rsid w:val="00690CA4"/>
    <w:rsid w:val="0069141F"/>
    <w:rsid w:val="00691B3E"/>
    <w:rsid w:val="00693578"/>
    <w:rsid w:val="0069601C"/>
    <w:rsid w:val="006964DD"/>
    <w:rsid w:val="00697A3E"/>
    <w:rsid w:val="006A02D5"/>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A33"/>
    <w:rsid w:val="00726FDB"/>
    <w:rsid w:val="007276F1"/>
    <w:rsid w:val="00727952"/>
    <w:rsid w:val="00730076"/>
    <w:rsid w:val="0073287A"/>
    <w:rsid w:val="007346CC"/>
    <w:rsid w:val="00736650"/>
    <w:rsid w:val="00736B4F"/>
    <w:rsid w:val="00742260"/>
    <w:rsid w:val="00743297"/>
    <w:rsid w:val="007434CE"/>
    <w:rsid w:val="00744A0D"/>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DF0"/>
    <w:rsid w:val="007E3A3E"/>
    <w:rsid w:val="007E4156"/>
    <w:rsid w:val="007E60AD"/>
    <w:rsid w:val="007E7A6B"/>
    <w:rsid w:val="007F1F32"/>
    <w:rsid w:val="007F293D"/>
    <w:rsid w:val="007F3928"/>
    <w:rsid w:val="007F5EC8"/>
    <w:rsid w:val="0080031E"/>
    <w:rsid w:val="00800BB7"/>
    <w:rsid w:val="008024AA"/>
    <w:rsid w:val="00807955"/>
    <w:rsid w:val="00807964"/>
    <w:rsid w:val="00811083"/>
    <w:rsid w:val="00814C04"/>
    <w:rsid w:val="0081557D"/>
    <w:rsid w:val="00817E06"/>
    <w:rsid w:val="008234E8"/>
    <w:rsid w:val="00823F3F"/>
    <w:rsid w:val="00824A4B"/>
    <w:rsid w:val="00834BC6"/>
    <w:rsid w:val="00835532"/>
    <w:rsid w:val="00835BD6"/>
    <w:rsid w:val="00840DB0"/>
    <w:rsid w:val="00841044"/>
    <w:rsid w:val="00843E70"/>
    <w:rsid w:val="00851F7D"/>
    <w:rsid w:val="00855A88"/>
    <w:rsid w:val="0085743F"/>
    <w:rsid w:val="00860831"/>
    <w:rsid w:val="0086475B"/>
    <w:rsid w:val="008649B4"/>
    <w:rsid w:val="0086535B"/>
    <w:rsid w:val="00866390"/>
    <w:rsid w:val="008663A8"/>
    <w:rsid w:val="0087332C"/>
    <w:rsid w:val="00877E7C"/>
    <w:rsid w:val="00881E37"/>
    <w:rsid w:val="00883668"/>
    <w:rsid w:val="0089100C"/>
    <w:rsid w:val="00892FDF"/>
    <w:rsid w:val="00895739"/>
    <w:rsid w:val="0089580F"/>
    <w:rsid w:val="00896909"/>
    <w:rsid w:val="00896FD9"/>
    <w:rsid w:val="0089722C"/>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4A9E"/>
    <w:rsid w:val="00924BCC"/>
    <w:rsid w:val="00925E0F"/>
    <w:rsid w:val="00927844"/>
    <w:rsid w:val="00927CEF"/>
    <w:rsid w:val="009315F5"/>
    <w:rsid w:val="00932B30"/>
    <w:rsid w:val="00933C97"/>
    <w:rsid w:val="00935025"/>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3EC6"/>
    <w:rsid w:val="00974302"/>
    <w:rsid w:val="00975304"/>
    <w:rsid w:val="00976BD2"/>
    <w:rsid w:val="00983B2D"/>
    <w:rsid w:val="00984080"/>
    <w:rsid w:val="00984A37"/>
    <w:rsid w:val="0098546B"/>
    <w:rsid w:val="00986806"/>
    <w:rsid w:val="00991BD9"/>
    <w:rsid w:val="00994AE7"/>
    <w:rsid w:val="00995ED8"/>
    <w:rsid w:val="009A1B77"/>
    <w:rsid w:val="009A284C"/>
    <w:rsid w:val="009A4174"/>
    <w:rsid w:val="009A58EC"/>
    <w:rsid w:val="009A5C91"/>
    <w:rsid w:val="009B0BA0"/>
    <w:rsid w:val="009B1CAE"/>
    <w:rsid w:val="009B2251"/>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6EAB"/>
    <w:rsid w:val="009F780B"/>
    <w:rsid w:val="009F7A63"/>
    <w:rsid w:val="00A00BAA"/>
    <w:rsid w:val="00A030E4"/>
    <w:rsid w:val="00A05A48"/>
    <w:rsid w:val="00A06FC2"/>
    <w:rsid w:val="00A10211"/>
    <w:rsid w:val="00A12910"/>
    <w:rsid w:val="00A148BA"/>
    <w:rsid w:val="00A15E05"/>
    <w:rsid w:val="00A15F2A"/>
    <w:rsid w:val="00A1721D"/>
    <w:rsid w:val="00A17701"/>
    <w:rsid w:val="00A20653"/>
    <w:rsid w:val="00A21908"/>
    <w:rsid w:val="00A22415"/>
    <w:rsid w:val="00A249D7"/>
    <w:rsid w:val="00A26CBF"/>
    <w:rsid w:val="00A43C72"/>
    <w:rsid w:val="00A455A8"/>
    <w:rsid w:val="00A505A8"/>
    <w:rsid w:val="00A52697"/>
    <w:rsid w:val="00A527F7"/>
    <w:rsid w:val="00A54186"/>
    <w:rsid w:val="00A55930"/>
    <w:rsid w:val="00A62959"/>
    <w:rsid w:val="00A64656"/>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21F"/>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712F"/>
    <w:rsid w:val="00B128D1"/>
    <w:rsid w:val="00B145D7"/>
    <w:rsid w:val="00B21494"/>
    <w:rsid w:val="00B21C2E"/>
    <w:rsid w:val="00B221D0"/>
    <w:rsid w:val="00B22B07"/>
    <w:rsid w:val="00B232EF"/>
    <w:rsid w:val="00B25BC0"/>
    <w:rsid w:val="00B27343"/>
    <w:rsid w:val="00B3046A"/>
    <w:rsid w:val="00B30C40"/>
    <w:rsid w:val="00B3191B"/>
    <w:rsid w:val="00B342B4"/>
    <w:rsid w:val="00B35AD6"/>
    <w:rsid w:val="00B36AC2"/>
    <w:rsid w:val="00B40E2A"/>
    <w:rsid w:val="00B433DE"/>
    <w:rsid w:val="00B43D61"/>
    <w:rsid w:val="00B44535"/>
    <w:rsid w:val="00B47504"/>
    <w:rsid w:val="00B510D0"/>
    <w:rsid w:val="00B52B26"/>
    <w:rsid w:val="00B533AD"/>
    <w:rsid w:val="00B53C29"/>
    <w:rsid w:val="00B652BB"/>
    <w:rsid w:val="00B667C8"/>
    <w:rsid w:val="00B6761B"/>
    <w:rsid w:val="00B70E1C"/>
    <w:rsid w:val="00B72F81"/>
    <w:rsid w:val="00B7324C"/>
    <w:rsid w:val="00B74A64"/>
    <w:rsid w:val="00B76434"/>
    <w:rsid w:val="00B77A14"/>
    <w:rsid w:val="00B86994"/>
    <w:rsid w:val="00B90F8E"/>
    <w:rsid w:val="00B91A89"/>
    <w:rsid w:val="00B937C7"/>
    <w:rsid w:val="00B93D7D"/>
    <w:rsid w:val="00B95F54"/>
    <w:rsid w:val="00B96BA4"/>
    <w:rsid w:val="00BA4A29"/>
    <w:rsid w:val="00BA5067"/>
    <w:rsid w:val="00BA6653"/>
    <w:rsid w:val="00BB0A00"/>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177DF"/>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4200"/>
    <w:rsid w:val="00C966B8"/>
    <w:rsid w:val="00CA3195"/>
    <w:rsid w:val="00CB4296"/>
    <w:rsid w:val="00CB6C62"/>
    <w:rsid w:val="00CC08E1"/>
    <w:rsid w:val="00CC0DE9"/>
    <w:rsid w:val="00CC26F4"/>
    <w:rsid w:val="00CC3139"/>
    <w:rsid w:val="00CC349D"/>
    <w:rsid w:val="00CC649F"/>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CD9"/>
    <w:rsid w:val="00D25EA5"/>
    <w:rsid w:val="00D26D19"/>
    <w:rsid w:val="00D27807"/>
    <w:rsid w:val="00D27907"/>
    <w:rsid w:val="00D300C4"/>
    <w:rsid w:val="00D3202B"/>
    <w:rsid w:val="00D32647"/>
    <w:rsid w:val="00D32C92"/>
    <w:rsid w:val="00D335DB"/>
    <w:rsid w:val="00D34AF7"/>
    <w:rsid w:val="00D35233"/>
    <w:rsid w:val="00D361AD"/>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645E8"/>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5AC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66B5"/>
    <w:rsid w:val="00E46CF4"/>
    <w:rsid w:val="00E472EA"/>
    <w:rsid w:val="00E50ECF"/>
    <w:rsid w:val="00E527E6"/>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691F"/>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BE7"/>
    <w:rsid w:val="00F06C43"/>
    <w:rsid w:val="00F10149"/>
    <w:rsid w:val="00F23B15"/>
    <w:rsid w:val="00F248AB"/>
    <w:rsid w:val="00F2646B"/>
    <w:rsid w:val="00F310EA"/>
    <w:rsid w:val="00F314C8"/>
    <w:rsid w:val="00F3350C"/>
    <w:rsid w:val="00F37D78"/>
    <w:rsid w:val="00F40E12"/>
    <w:rsid w:val="00F46B0F"/>
    <w:rsid w:val="00F5219F"/>
    <w:rsid w:val="00F527CA"/>
    <w:rsid w:val="00F52B12"/>
    <w:rsid w:val="00F535B0"/>
    <w:rsid w:val="00F54C44"/>
    <w:rsid w:val="00F5646C"/>
    <w:rsid w:val="00F61E3A"/>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23C0"/>
    <w:rsid w:val="00F95BD7"/>
    <w:rsid w:val="00F975CD"/>
    <w:rsid w:val="00FA0130"/>
    <w:rsid w:val="00FA02B0"/>
    <w:rsid w:val="00FA187B"/>
    <w:rsid w:val="00FA44D5"/>
    <w:rsid w:val="00FA7CE5"/>
    <w:rsid w:val="00FB0D88"/>
    <w:rsid w:val="00FB136F"/>
    <w:rsid w:val="00FB3BA7"/>
    <w:rsid w:val="00FB6779"/>
    <w:rsid w:val="00FB6AE7"/>
    <w:rsid w:val="00FC0124"/>
    <w:rsid w:val="00FC0615"/>
    <w:rsid w:val="00FC5404"/>
    <w:rsid w:val="00FC5A17"/>
    <w:rsid w:val="00FD093A"/>
    <w:rsid w:val="00FD0D68"/>
    <w:rsid w:val="00FD0E94"/>
    <w:rsid w:val="00FD3299"/>
    <w:rsid w:val="00FD3C37"/>
    <w:rsid w:val="00FD4DE2"/>
    <w:rsid w:val="00FD62E3"/>
    <w:rsid w:val="00FE173B"/>
    <w:rsid w:val="00FE3260"/>
    <w:rsid w:val="00FE6A1B"/>
    <w:rsid w:val="00FF1206"/>
    <w:rsid w:val="00FF22CC"/>
    <w:rsid w:val="00FF2CB8"/>
    <w:rsid w:val="00FF3938"/>
    <w:rsid w:val="00FF5263"/>
    <w:rsid w:val="00FF5A9A"/>
    <w:rsid w:val="00FF7351"/>
    <w:rsid w:val="011A6F2D"/>
    <w:rsid w:val="013435B5"/>
    <w:rsid w:val="014F5647"/>
    <w:rsid w:val="01770ACE"/>
    <w:rsid w:val="01877531"/>
    <w:rsid w:val="01BF0828"/>
    <w:rsid w:val="01DA46CE"/>
    <w:rsid w:val="02FC28FF"/>
    <w:rsid w:val="03017284"/>
    <w:rsid w:val="043224DD"/>
    <w:rsid w:val="046B025E"/>
    <w:rsid w:val="05024C95"/>
    <w:rsid w:val="05E64AEE"/>
    <w:rsid w:val="063D65C9"/>
    <w:rsid w:val="06A05089"/>
    <w:rsid w:val="07757563"/>
    <w:rsid w:val="07DE47B3"/>
    <w:rsid w:val="07EE4273"/>
    <w:rsid w:val="082C45C4"/>
    <w:rsid w:val="08A96618"/>
    <w:rsid w:val="08DA4AF1"/>
    <w:rsid w:val="08DB68C4"/>
    <w:rsid w:val="08DE331E"/>
    <w:rsid w:val="08E86240"/>
    <w:rsid w:val="08E90A1B"/>
    <w:rsid w:val="09430711"/>
    <w:rsid w:val="0A137633"/>
    <w:rsid w:val="0A7E258E"/>
    <w:rsid w:val="0AE2705A"/>
    <w:rsid w:val="0AEE7599"/>
    <w:rsid w:val="0B4502AC"/>
    <w:rsid w:val="0BF43677"/>
    <w:rsid w:val="0C30292C"/>
    <w:rsid w:val="0C544FFB"/>
    <w:rsid w:val="0C6763C7"/>
    <w:rsid w:val="0C71773E"/>
    <w:rsid w:val="0CD52905"/>
    <w:rsid w:val="0CD834BF"/>
    <w:rsid w:val="0CDF0F44"/>
    <w:rsid w:val="0E0E25C5"/>
    <w:rsid w:val="0E417F34"/>
    <w:rsid w:val="0E6F2503"/>
    <w:rsid w:val="0FB7434F"/>
    <w:rsid w:val="104A585D"/>
    <w:rsid w:val="108B350D"/>
    <w:rsid w:val="10A378E3"/>
    <w:rsid w:val="111E0A73"/>
    <w:rsid w:val="11684ABE"/>
    <w:rsid w:val="116B7930"/>
    <w:rsid w:val="11B24A3D"/>
    <w:rsid w:val="12211AE4"/>
    <w:rsid w:val="12F7036E"/>
    <w:rsid w:val="134345F5"/>
    <w:rsid w:val="15A92197"/>
    <w:rsid w:val="165740C0"/>
    <w:rsid w:val="16C5343C"/>
    <w:rsid w:val="17E8112E"/>
    <w:rsid w:val="190B2DB4"/>
    <w:rsid w:val="19754FBC"/>
    <w:rsid w:val="19870ED9"/>
    <w:rsid w:val="1A164474"/>
    <w:rsid w:val="1A863B1F"/>
    <w:rsid w:val="1ADC207E"/>
    <w:rsid w:val="1B1A58A0"/>
    <w:rsid w:val="1B3C46A7"/>
    <w:rsid w:val="1BA71B91"/>
    <w:rsid w:val="1BCA6502"/>
    <w:rsid w:val="1BE57403"/>
    <w:rsid w:val="1C522C1A"/>
    <w:rsid w:val="1C7E4752"/>
    <w:rsid w:val="1CCC6940"/>
    <w:rsid w:val="1D3C396D"/>
    <w:rsid w:val="1D6814C4"/>
    <w:rsid w:val="1DBF21AA"/>
    <w:rsid w:val="1DF54DAB"/>
    <w:rsid w:val="1EA87464"/>
    <w:rsid w:val="1EB9556F"/>
    <w:rsid w:val="1F3D7AF1"/>
    <w:rsid w:val="20DB50E1"/>
    <w:rsid w:val="21416CA9"/>
    <w:rsid w:val="22672859"/>
    <w:rsid w:val="22957BC9"/>
    <w:rsid w:val="22D86743"/>
    <w:rsid w:val="23163E27"/>
    <w:rsid w:val="23304BBC"/>
    <w:rsid w:val="241E76F0"/>
    <w:rsid w:val="24294BC7"/>
    <w:rsid w:val="247732F6"/>
    <w:rsid w:val="2484393A"/>
    <w:rsid w:val="2514463D"/>
    <w:rsid w:val="2540023B"/>
    <w:rsid w:val="257160EE"/>
    <w:rsid w:val="25CB1871"/>
    <w:rsid w:val="26133716"/>
    <w:rsid w:val="26DC1BBC"/>
    <w:rsid w:val="271F4BE1"/>
    <w:rsid w:val="272A0336"/>
    <w:rsid w:val="27930079"/>
    <w:rsid w:val="2837298E"/>
    <w:rsid w:val="28895601"/>
    <w:rsid w:val="28CD42D8"/>
    <w:rsid w:val="29593826"/>
    <w:rsid w:val="29AE72DA"/>
    <w:rsid w:val="29C64F82"/>
    <w:rsid w:val="2A426029"/>
    <w:rsid w:val="2AAD7DB1"/>
    <w:rsid w:val="2AF37BE6"/>
    <w:rsid w:val="2B5226AE"/>
    <w:rsid w:val="2B5814D9"/>
    <w:rsid w:val="2B8F06C6"/>
    <w:rsid w:val="2C146814"/>
    <w:rsid w:val="2C9B3AED"/>
    <w:rsid w:val="2D635378"/>
    <w:rsid w:val="2D8B69AC"/>
    <w:rsid w:val="2E9B68EB"/>
    <w:rsid w:val="2F640F49"/>
    <w:rsid w:val="2FDA2BD8"/>
    <w:rsid w:val="301976C4"/>
    <w:rsid w:val="30606BA3"/>
    <w:rsid w:val="30D63678"/>
    <w:rsid w:val="30FA191D"/>
    <w:rsid w:val="31440308"/>
    <w:rsid w:val="31610186"/>
    <w:rsid w:val="321A2C00"/>
    <w:rsid w:val="3248779D"/>
    <w:rsid w:val="325011D1"/>
    <w:rsid w:val="32585C33"/>
    <w:rsid w:val="327E2D41"/>
    <w:rsid w:val="32990235"/>
    <w:rsid w:val="32E661F0"/>
    <w:rsid w:val="332472C4"/>
    <w:rsid w:val="338E4F3D"/>
    <w:rsid w:val="3447124C"/>
    <w:rsid w:val="34B92F9D"/>
    <w:rsid w:val="34CB7946"/>
    <w:rsid w:val="357666EA"/>
    <w:rsid w:val="36257CFD"/>
    <w:rsid w:val="36BC1F5F"/>
    <w:rsid w:val="37004973"/>
    <w:rsid w:val="37222BC8"/>
    <w:rsid w:val="389052B8"/>
    <w:rsid w:val="38D84535"/>
    <w:rsid w:val="392469CC"/>
    <w:rsid w:val="39363177"/>
    <w:rsid w:val="39A75CF2"/>
    <w:rsid w:val="3A091037"/>
    <w:rsid w:val="3A430C5A"/>
    <w:rsid w:val="3AB50454"/>
    <w:rsid w:val="3AC55A40"/>
    <w:rsid w:val="3B7837BF"/>
    <w:rsid w:val="3CB24DF3"/>
    <w:rsid w:val="3D383EA5"/>
    <w:rsid w:val="3DA3709A"/>
    <w:rsid w:val="3DA93797"/>
    <w:rsid w:val="3DB40980"/>
    <w:rsid w:val="3DE947AB"/>
    <w:rsid w:val="3E3C3B5A"/>
    <w:rsid w:val="3E4820BB"/>
    <w:rsid w:val="3ED122A0"/>
    <w:rsid w:val="3F6F7860"/>
    <w:rsid w:val="3FF42CA7"/>
    <w:rsid w:val="40AE6ABF"/>
    <w:rsid w:val="40B326BA"/>
    <w:rsid w:val="40D20EE9"/>
    <w:rsid w:val="40FA44B8"/>
    <w:rsid w:val="41A37F16"/>
    <w:rsid w:val="421468FB"/>
    <w:rsid w:val="42165DE4"/>
    <w:rsid w:val="427947D8"/>
    <w:rsid w:val="42B93D5D"/>
    <w:rsid w:val="43F71E6A"/>
    <w:rsid w:val="44081C3A"/>
    <w:rsid w:val="445E5591"/>
    <w:rsid w:val="44A04EE2"/>
    <w:rsid w:val="44D12E6E"/>
    <w:rsid w:val="45256BCD"/>
    <w:rsid w:val="453B5C7B"/>
    <w:rsid w:val="46F1134A"/>
    <w:rsid w:val="473B3EF6"/>
    <w:rsid w:val="47A070CE"/>
    <w:rsid w:val="47E3471C"/>
    <w:rsid w:val="488378CB"/>
    <w:rsid w:val="489C5FE4"/>
    <w:rsid w:val="493551FC"/>
    <w:rsid w:val="4A363ABC"/>
    <w:rsid w:val="4A41352F"/>
    <w:rsid w:val="4B3C7309"/>
    <w:rsid w:val="4B4D7346"/>
    <w:rsid w:val="4DC0695D"/>
    <w:rsid w:val="4DF7663B"/>
    <w:rsid w:val="4EA63DC1"/>
    <w:rsid w:val="4F3859AD"/>
    <w:rsid w:val="4FFC5BDC"/>
    <w:rsid w:val="50DE38C1"/>
    <w:rsid w:val="51062486"/>
    <w:rsid w:val="515A5808"/>
    <w:rsid w:val="51F51603"/>
    <w:rsid w:val="520B7A26"/>
    <w:rsid w:val="528A77B1"/>
    <w:rsid w:val="52C50149"/>
    <w:rsid w:val="531950CC"/>
    <w:rsid w:val="535964BE"/>
    <w:rsid w:val="53C77124"/>
    <w:rsid w:val="53DC5920"/>
    <w:rsid w:val="53EC2797"/>
    <w:rsid w:val="545F5EC6"/>
    <w:rsid w:val="5499381C"/>
    <w:rsid w:val="5504290E"/>
    <w:rsid w:val="553D06AD"/>
    <w:rsid w:val="55AD034A"/>
    <w:rsid w:val="55D06F41"/>
    <w:rsid w:val="5609081B"/>
    <w:rsid w:val="562D5A32"/>
    <w:rsid w:val="563A7109"/>
    <w:rsid w:val="564E5997"/>
    <w:rsid w:val="572D1AE8"/>
    <w:rsid w:val="57402E01"/>
    <w:rsid w:val="581038D9"/>
    <w:rsid w:val="588C507F"/>
    <w:rsid w:val="58C933D6"/>
    <w:rsid w:val="5A635B8C"/>
    <w:rsid w:val="5A91268C"/>
    <w:rsid w:val="5BBA5881"/>
    <w:rsid w:val="5C4C29C0"/>
    <w:rsid w:val="5C8E232B"/>
    <w:rsid w:val="5CDE29C5"/>
    <w:rsid w:val="5CF47B08"/>
    <w:rsid w:val="5DC84BEC"/>
    <w:rsid w:val="5DF12B8B"/>
    <w:rsid w:val="5EC7569F"/>
    <w:rsid w:val="5F6106FC"/>
    <w:rsid w:val="601943C2"/>
    <w:rsid w:val="60351475"/>
    <w:rsid w:val="612509CD"/>
    <w:rsid w:val="61BF40B6"/>
    <w:rsid w:val="61C2784A"/>
    <w:rsid w:val="61F5186A"/>
    <w:rsid w:val="62DF2160"/>
    <w:rsid w:val="63E973C6"/>
    <w:rsid w:val="64080CA2"/>
    <w:rsid w:val="644579F6"/>
    <w:rsid w:val="64880AE2"/>
    <w:rsid w:val="65351B70"/>
    <w:rsid w:val="656820CF"/>
    <w:rsid w:val="65EA3876"/>
    <w:rsid w:val="666E036F"/>
    <w:rsid w:val="6733188E"/>
    <w:rsid w:val="67861F9B"/>
    <w:rsid w:val="67F12767"/>
    <w:rsid w:val="68287635"/>
    <w:rsid w:val="69E94C28"/>
    <w:rsid w:val="6AEE37EB"/>
    <w:rsid w:val="6B4116A8"/>
    <w:rsid w:val="6BA9750E"/>
    <w:rsid w:val="6C3E4544"/>
    <w:rsid w:val="6C5336DE"/>
    <w:rsid w:val="6D4F725D"/>
    <w:rsid w:val="6D581EDE"/>
    <w:rsid w:val="6D621CF3"/>
    <w:rsid w:val="6DB30DBF"/>
    <w:rsid w:val="6DED6658"/>
    <w:rsid w:val="6F294259"/>
    <w:rsid w:val="6F32301A"/>
    <w:rsid w:val="6F984C71"/>
    <w:rsid w:val="70A31285"/>
    <w:rsid w:val="70E50C0F"/>
    <w:rsid w:val="70ED4AB1"/>
    <w:rsid w:val="71061911"/>
    <w:rsid w:val="712E02B7"/>
    <w:rsid w:val="71AB4644"/>
    <w:rsid w:val="729B0D74"/>
    <w:rsid w:val="730958E0"/>
    <w:rsid w:val="730F1AA6"/>
    <w:rsid w:val="73B9448A"/>
    <w:rsid w:val="74412A0E"/>
    <w:rsid w:val="7447127B"/>
    <w:rsid w:val="7560032C"/>
    <w:rsid w:val="75A96D14"/>
    <w:rsid w:val="75C62380"/>
    <w:rsid w:val="760072A4"/>
    <w:rsid w:val="76094C14"/>
    <w:rsid w:val="764A71F2"/>
    <w:rsid w:val="769B2D25"/>
    <w:rsid w:val="76A21153"/>
    <w:rsid w:val="77B33CE2"/>
    <w:rsid w:val="77D20B91"/>
    <w:rsid w:val="77EF576D"/>
    <w:rsid w:val="785F2D2D"/>
    <w:rsid w:val="78770D22"/>
    <w:rsid w:val="78AA760C"/>
    <w:rsid w:val="78B45317"/>
    <w:rsid w:val="794A54B0"/>
    <w:rsid w:val="798F6062"/>
    <w:rsid w:val="79FD5AB1"/>
    <w:rsid w:val="79FE32B8"/>
    <w:rsid w:val="7A4956C2"/>
    <w:rsid w:val="7A7A5EF3"/>
    <w:rsid w:val="7AA26C7C"/>
    <w:rsid w:val="7C924ECC"/>
    <w:rsid w:val="7CD80B3C"/>
    <w:rsid w:val="7D22622F"/>
    <w:rsid w:val="7DC07A12"/>
    <w:rsid w:val="7E05675E"/>
    <w:rsid w:val="7F9B0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autoRedefine/>
    <w:qFormat/>
    <w:uiPriority w:val="0"/>
    <w:pPr>
      <w:keepNext/>
      <w:spacing w:line="360" w:lineRule="auto"/>
      <w:jc w:val="center"/>
      <w:outlineLvl w:val="0"/>
    </w:pPr>
    <w:rPr>
      <w:rFonts w:ascii="Arial" w:hAnsi="Arial"/>
      <w:b/>
      <w:bCs/>
      <w:sz w:val="24"/>
      <w:szCs w:val="18"/>
    </w:rPr>
  </w:style>
  <w:style w:type="paragraph" w:styleId="3">
    <w:name w:val="heading 2"/>
    <w:basedOn w:val="1"/>
    <w:next w:val="4"/>
    <w:autoRedefine/>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autoRedefine/>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autoRedefine/>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17" w:lineRule="auto"/>
      <w:outlineLvl w:val="6"/>
    </w:pPr>
    <w:rPr>
      <w:b/>
      <w:bCs/>
      <w:sz w:val="24"/>
    </w:rPr>
  </w:style>
  <w:style w:type="paragraph" w:styleId="10">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semiHidden/>
    <w:qFormat/>
    <w:uiPriority w:val="0"/>
    <w:pPr>
      <w:ind w:left="2520" w:leftChars="1200"/>
    </w:pPr>
  </w:style>
  <w:style w:type="paragraph" w:styleId="14">
    <w:name w:val="List Bullet 4"/>
    <w:basedOn w:val="1"/>
    <w:autoRedefine/>
    <w:qFormat/>
    <w:uiPriority w:val="0"/>
    <w:pPr>
      <w:tabs>
        <w:tab w:val="left" w:pos="1620"/>
      </w:tabs>
      <w:ind w:left="1620" w:hanging="360"/>
    </w:p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143"/>
    <w:autoRedefine/>
    <w:qFormat/>
    <w:uiPriority w:val="99"/>
    <w:pPr>
      <w:jc w:val="left"/>
    </w:pPr>
  </w:style>
  <w:style w:type="paragraph" w:styleId="18">
    <w:name w:val="Body Text 3"/>
    <w:basedOn w:val="1"/>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hanging="360"/>
    </w:pPr>
  </w:style>
  <w:style w:type="paragraph" w:styleId="20">
    <w:name w:val="Body Text"/>
    <w:basedOn w:val="1"/>
    <w:autoRedefine/>
    <w:qFormat/>
    <w:uiPriority w:val="0"/>
    <w:pPr>
      <w:spacing w:after="120"/>
    </w:pPr>
  </w:style>
  <w:style w:type="paragraph" w:styleId="21">
    <w:name w:val="Body Text Indent"/>
    <w:basedOn w:val="1"/>
    <w:autoRedefine/>
    <w:qFormat/>
    <w:uiPriority w:val="0"/>
    <w:pPr>
      <w:ind w:left="420" w:leftChars="200" w:firstLine="420" w:firstLineChars="200"/>
    </w:pPr>
  </w:style>
  <w:style w:type="paragraph" w:styleId="22">
    <w:name w:val="List 2"/>
    <w:basedOn w:val="1"/>
    <w:autoRedefine/>
    <w:qFormat/>
    <w:uiPriority w:val="0"/>
    <w:pPr>
      <w:ind w:left="100" w:leftChars="200" w:hanging="200" w:hangingChars="200"/>
    </w:pPr>
  </w:style>
  <w:style w:type="paragraph" w:styleId="23">
    <w:name w:val="List Continue"/>
    <w:basedOn w:val="1"/>
    <w:autoRedefine/>
    <w:qFormat/>
    <w:uiPriority w:val="0"/>
    <w:pPr>
      <w:spacing w:after="120"/>
      <w:ind w:left="420" w:leftChars="200"/>
    </w:pPr>
  </w:style>
  <w:style w:type="paragraph" w:styleId="24">
    <w:name w:val="Block Text"/>
    <w:basedOn w:val="1"/>
    <w:autoRedefine/>
    <w:qFormat/>
    <w:uiPriority w:val="0"/>
    <w:pPr>
      <w:ind w:left="105" w:right="353" w:firstLine="720"/>
      <w:jc w:val="center"/>
    </w:pPr>
    <w:rPr>
      <w:rFonts w:eastAsia="楷体_GB2312"/>
      <w:sz w:val="24"/>
    </w:rPr>
  </w:style>
  <w:style w:type="paragraph" w:styleId="25">
    <w:name w:val="List Bullet 2"/>
    <w:basedOn w:val="1"/>
    <w:autoRedefine/>
    <w:qFormat/>
    <w:uiPriority w:val="0"/>
    <w:pPr>
      <w:tabs>
        <w:tab w:val="left" w:pos="780"/>
      </w:tabs>
      <w:ind w:left="780" w:hanging="360"/>
    </w:pPr>
  </w:style>
  <w:style w:type="paragraph" w:styleId="26">
    <w:name w:val="toc 5"/>
    <w:basedOn w:val="1"/>
    <w:next w:val="1"/>
    <w:autoRedefine/>
    <w:semiHidden/>
    <w:qFormat/>
    <w:uiPriority w:val="0"/>
    <w:pPr>
      <w:ind w:left="1680" w:leftChars="800"/>
    </w:pPr>
  </w:style>
  <w:style w:type="paragraph" w:styleId="27">
    <w:name w:val="toc 3"/>
    <w:basedOn w:val="1"/>
    <w:next w:val="1"/>
    <w:autoRedefine/>
    <w:qFormat/>
    <w:uiPriority w:val="0"/>
    <w:pPr>
      <w:ind w:left="840" w:leftChars="400"/>
    </w:pPr>
  </w:style>
  <w:style w:type="paragraph" w:styleId="28">
    <w:name w:val="Plain Text"/>
    <w:basedOn w:val="1"/>
    <w:link w:val="144"/>
    <w:autoRedefine/>
    <w:qFormat/>
    <w:uiPriority w:val="0"/>
    <w:rPr>
      <w:rFonts w:ascii="宋体" w:hAnsi="Courier New"/>
    </w:rPr>
  </w:style>
  <w:style w:type="paragraph" w:styleId="29">
    <w:name w:val="toc 8"/>
    <w:basedOn w:val="1"/>
    <w:next w:val="1"/>
    <w:autoRedefine/>
    <w:semiHidden/>
    <w:qFormat/>
    <w:uiPriority w:val="0"/>
    <w:pPr>
      <w:ind w:left="2940" w:leftChars="1400"/>
    </w:pPr>
  </w:style>
  <w:style w:type="paragraph" w:styleId="30">
    <w:name w:val="Date"/>
    <w:basedOn w:val="1"/>
    <w:next w:val="1"/>
    <w:autoRedefine/>
    <w:qFormat/>
    <w:uiPriority w:val="0"/>
    <w:rPr>
      <w:rFonts w:ascii="宋体" w:hAnsi="Courier New"/>
      <w:sz w:val="32"/>
      <w:szCs w:val="20"/>
    </w:rPr>
  </w:style>
  <w:style w:type="paragraph" w:styleId="31">
    <w:name w:val="Body Text Indent 2"/>
    <w:basedOn w:val="1"/>
    <w:autoRedefine/>
    <w:qFormat/>
    <w:uiPriority w:val="0"/>
    <w:pPr>
      <w:spacing w:line="360" w:lineRule="auto"/>
      <w:ind w:firstLine="420" w:firstLineChars="200"/>
    </w:pPr>
  </w:style>
  <w:style w:type="paragraph" w:styleId="32">
    <w:name w:val="List Continue 5"/>
    <w:basedOn w:val="1"/>
    <w:autoRedefine/>
    <w:qFormat/>
    <w:uiPriority w:val="0"/>
    <w:pPr>
      <w:spacing w:after="120"/>
      <w:ind w:left="2100" w:leftChars="1000"/>
    </w:pPr>
  </w:style>
  <w:style w:type="paragraph" w:styleId="33">
    <w:name w:val="Balloon Text"/>
    <w:basedOn w:val="1"/>
    <w:autoRedefine/>
    <w:qFormat/>
    <w:uiPriority w:val="0"/>
    <w:rPr>
      <w:sz w:val="18"/>
      <w:szCs w:val="20"/>
    </w:rPr>
  </w:style>
  <w:style w:type="paragraph" w:styleId="34">
    <w:name w:val="footer"/>
    <w:basedOn w:val="1"/>
    <w:link w:val="60"/>
    <w:autoRedefine/>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4"/>
    <w:autoRedefine/>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autoRedefine/>
    <w:qFormat/>
    <w:uiPriority w:val="0"/>
    <w:pPr>
      <w:spacing w:after="120"/>
      <w:ind w:left="1680" w:leftChars="800"/>
    </w:pPr>
  </w:style>
  <w:style w:type="paragraph" w:styleId="38">
    <w:name w:val="toc 4"/>
    <w:basedOn w:val="1"/>
    <w:next w:val="1"/>
    <w:autoRedefine/>
    <w:qFormat/>
    <w:uiPriority w:val="0"/>
    <w:pPr>
      <w:ind w:left="1260" w:leftChars="600"/>
    </w:pPr>
  </w:style>
  <w:style w:type="paragraph" w:styleId="39">
    <w:name w:val="List"/>
    <w:basedOn w:val="1"/>
    <w:autoRedefine/>
    <w:qFormat/>
    <w:uiPriority w:val="0"/>
    <w:pPr>
      <w:ind w:left="200" w:hanging="200" w:hangingChars="200"/>
    </w:pPr>
  </w:style>
  <w:style w:type="paragraph" w:styleId="40">
    <w:name w:val="toc 6"/>
    <w:basedOn w:val="1"/>
    <w:next w:val="1"/>
    <w:autoRedefine/>
    <w:semiHidden/>
    <w:qFormat/>
    <w:uiPriority w:val="0"/>
    <w:pPr>
      <w:ind w:left="2100" w:leftChars="1000"/>
    </w:pPr>
  </w:style>
  <w:style w:type="paragraph" w:styleId="41">
    <w:name w:val="List 5"/>
    <w:basedOn w:val="1"/>
    <w:autoRedefine/>
    <w:qFormat/>
    <w:uiPriority w:val="0"/>
    <w:pPr>
      <w:ind w:left="100" w:leftChars="800" w:hanging="200" w:hangingChars="200"/>
    </w:pPr>
  </w:style>
  <w:style w:type="paragraph" w:styleId="42">
    <w:name w:val="Body Text Indent 3"/>
    <w:basedOn w:val="1"/>
    <w:autoRedefine/>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autoRedefine/>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autoRedefine/>
    <w:semiHidden/>
    <w:qFormat/>
    <w:uiPriority w:val="0"/>
    <w:pPr>
      <w:ind w:left="3360" w:leftChars="1600"/>
    </w:pPr>
  </w:style>
  <w:style w:type="paragraph" w:styleId="45">
    <w:name w:val="Body Text 2"/>
    <w:basedOn w:val="1"/>
    <w:autoRedefine/>
    <w:qFormat/>
    <w:uiPriority w:val="0"/>
    <w:pPr>
      <w:spacing w:after="120" w:line="480" w:lineRule="auto"/>
    </w:pPr>
  </w:style>
  <w:style w:type="paragraph" w:styleId="46">
    <w:name w:val="List 4"/>
    <w:basedOn w:val="1"/>
    <w:autoRedefine/>
    <w:qFormat/>
    <w:uiPriority w:val="0"/>
    <w:pPr>
      <w:ind w:left="100" w:leftChars="600" w:hanging="200" w:hangingChars="200"/>
    </w:pPr>
  </w:style>
  <w:style w:type="paragraph" w:styleId="47">
    <w:name w:val="List Continue 2"/>
    <w:basedOn w:val="1"/>
    <w:autoRedefine/>
    <w:qFormat/>
    <w:uiPriority w:val="0"/>
    <w:pPr>
      <w:spacing w:after="120"/>
      <w:ind w:left="840" w:leftChars="400"/>
    </w:pPr>
  </w:style>
  <w:style w:type="paragraph" w:styleId="4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autoRedefine/>
    <w:qFormat/>
    <w:uiPriority w:val="0"/>
    <w:pPr>
      <w:spacing w:after="120"/>
      <w:ind w:left="1260" w:leftChars="600"/>
    </w:pPr>
  </w:style>
  <w:style w:type="paragraph" w:styleId="51">
    <w:name w:val="annotation subject"/>
    <w:basedOn w:val="17"/>
    <w:next w:val="17"/>
    <w:autoRedefine/>
    <w:semiHidden/>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basedOn w:val="54"/>
    <w:autoRedefine/>
    <w:qFormat/>
    <w:uiPriority w:val="0"/>
  </w:style>
  <w:style w:type="character" w:styleId="57">
    <w:name w:val="FollowedHyperlink"/>
    <w:autoRedefine/>
    <w:qFormat/>
    <w:uiPriority w:val="0"/>
    <w:rPr>
      <w:color w:val="800080"/>
      <w:u w:val="single"/>
    </w:rPr>
  </w:style>
  <w:style w:type="character" w:styleId="58">
    <w:name w:val="Hyperlink"/>
    <w:autoRedefine/>
    <w:qFormat/>
    <w:uiPriority w:val="99"/>
    <w:rPr>
      <w:color w:val="0000FF"/>
      <w:u w:val="single"/>
    </w:rPr>
  </w:style>
  <w:style w:type="character" w:styleId="59">
    <w:name w:val="annotation reference"/>
    <w:autoRedefine/>
    <w:qFormat/>
    <w:uiPriority w:val="99"/>
    <w:rPr>
      <w:sz w:val="21"/>
      <w:szCs w:val="21"/>
    </w:rPr>
  </w:style>
  <w:style w:type="character" w:customStyle="1" w:styleId="60">
    <w:name w:val="页脚 Char"/>
    <w:link w:val="34"/>
    <w:autoRedefine/>
    <w:qFormat/>
    <w:uiPriority w:val="99"/>
    <w:rPr>
      <w:kern w:val="2"/>
      <w:sz w:val="18"/>
      <w:szCs w:val="18"/>
    </w:rPr>
  </w:style>
  <w:style w:type="paragraph" w:customStyle="1" w:styleId="61">
    <w:name w:val="表格"/>
    <w:basedOn w:val="1"/>
    <w:autoRedefine/>
    <w:qFormat/>
    <w:uiPriority w:val="0"/>
    <w:pPr>
      <w:spacing w:line="420" w:lineRule="exact"/>
      <w:ind w:left="84" w:leftChars="40"/>
      <w:jc w:val="center"/>
    </w:pPr>
    <w:rPr>
      <w:rFonts w:ascii="宋体" w:hAnsi="宋体"/>
      <w:bCs/>
      <w:spacing w:val="-12"/>
    </w:rPr>
  </w:style>
  <w:style w:type="paragraph" w:customStyle="1" w:styleId="6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3">
    <w:name w:val="样式3"/>
    <w:basedOn w:val="5"/>
    <w:autoRedefine/>
    <w:qFormat/>
    <w:uiPriority w:val="0"/>
    <w:pPr>
      <w:tabs>
        <w:tab w:val="left" w:pos="1418"/>
      </w:tabs>
      <w:ind w:left="1418" w:hanging="567"/>
    </w:pPr>
  </w:style>
  <w:style w:type="paragraph" w:customStyle="1" w:styleId="64">
    <w:name w:val="标准正文1"/>
    <w:basedOn w:val="1"/>
    <w:autoRedefine/>
    <w:qFormat/>
    <w:uiPriority w:val="0"/>
    <w:pPr>
      <w:spacing w:line="360" w:lineRule="auto"/>
      <w:ind w:firstLine="200" w:firstLineChars="200"/>
    </w:pPr>
    <w:rPr>
      <w:rFonts w:ascii="宋体" w:hAnsi="宋体"/>
      <w:snapToGrid w:val="0"/>
      <w:kern w:val="0"/>
      <w:sz w:val="24"/>
    </w:rPr>
  </w:style>
  <w:style w:type="paragraph" w:customStyle="1" w:styleId="65">
    <w:name w:val="1"/>
    <w:basedOn w:val="1"/>
    <w:next w:val="28"/>
    <w:autoRedefine/>
    <w:qFormat/>
    <w:uiPriority w:val="0"/>
    <w:rPr>
      <w:rFonts w:ascii="宋体" w:hAnsi="Courier New"/>
      <w:szCs w:val="20"/>
    </w:rPr>
  </w:style>
  <w:style w:type="paragraph" w:customStyle="1" w:styleId="66">
    <w:name w:val="Char1"/>
    <w:basedOn w:val="1"/>
    <w:autoRedefine/>
    <w:qFormat/>
    <w:uiPriority w:val="0"/>
    <w:pPr>
      <w:widowControl/>
      <w:spacing w:after="160" w:line="240" w:lineRule="exact"/>
      <w:jc w:val="left"/>
    </w:pPr>
    <w:rPr>
      <w:sz w:val="24"/>
    </w:rPr>
  </w:style>
  <w:style w:type="paragraph" w:customStyle="1" w:styleId="67">
    <w:name w:val="Char Char2 Char"/>
    <w:basedOn w:val="1"/>
    <w:autoRedefine/>
    <w:qFormat/>
    <w:uiPriority w:val="0"/>
    <w:rPr>
      <w:rFonts w:ascii="宋体" w:hAnsi="宋体"/>
      <w:b/>
      <w:sz w:val="28"/>
      <w:szCs w:val="28"/>
    </w:rPr>
  </w:style>
  <w:style w:type="paragraph" w:customStyle="1" w:styleId="68">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69">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一级无标题条"/>
    <w:basedOn w:val="1"/>
    <w:autoRedefine/>
    <w:qFormat/>
    <w:uiPriority w:val="0"/>
    <w:rPr>
      <w:szCs w:val="21"/>
    </w:rPr>
  </w:style>
  <w:style w:type="paragraph" w:customStyle="1" w:styleId="72">
    <w:name w:val="Default"/>
    <w:autoRedefine/>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73">
    <w:name w:val="Char Char Char Char1"/>
    <w:basedOn w:val="1"/>
    <w:autoRedefine/>
    <w:qFormat/>
    <w:uiPriority w:val="0"/>
    <w:pPr>
      <w:numPr>
        <w:ilvl w:val="0"/>
        <w:numId w:val="1"/>
      </w:numPr>
    </w:pPr>
    <w:rPr>
      <w:sz w:val="24"/>
    </w:rPr>
  </w:style>
  <w:style w:type="paragraph" w:customStyle="1" w:styleId="74">
    <w:name w:val="元正正文标题2"/>
    <w:basedOn w:val="6"/>
    <w:autoRedefine/>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75">
    <w:name w:val="样式 标题 4 + 段前: 5 磅 段后: 5 磅 行距: 单倍行距"/>
    <w:basedOn w:val="6"/>
    <w:autoRedefine/>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76">
    <w:name w:val="3 Char"/>
    <w:basedOn w:val="1"/>
    <w:autoRedefine/>
    <w:qFormat/>
    <w:uiPriority w:val="0"/>
    <w:pPr>
      <w:widowControl/>
      <w:spacing w:line="400" w:lineRule="exact"/>
      <w:jc w:val="center"/>
    </w:pPr>
    <w:rPr>
      <w:rFonts w:ascii="Verdana" w:hAnsi="Verdana"/>
      <w:kern w:val="0"/>
      <w:szCs w:val="20"/>
      <w:lang w:eastAsia="en-US"/>
    </w:rPr>
  </w:style>
  <w:style w:type="paragraph" w:customStyle="1" w:styleId="77">
    <w:name w:val="批注框文本[858D7CFB-ED40-4347-BF05-701D383B685F][858D7CFB-ED40-4347-BF05-701D383B685F]"/>
    <w:basedOn w:val="1"/>
    <w:autoRedefine/>
    <w:qFormat/>
    <w:uiPriority w:val="0"/>
    <w:rPr>
      <w:sz w:val="18"/>
      <w:szCs w:val="18"/>
    </w:rPr>
  </w:style>
  <w:style w:type="paragraph" w:customStyle="1" w:styleId="78">
    <w:name w:val="4"/>
    <w:basedOn w:val="1"/>
    <w:next w:val="28"/>
    <w:autoRedefine/>
    <w:qFormat/>
    <w:uiPriority w:val="0"/>
    <w:rPr>
      <w:rFonts w:ascii="宋体" w:hAnsi="Courier New"/>
      <w:szCs w:val="20"/>
    </w:rPr>
  </w:style>
  <w:style w:type="paragraph" w:customStyle="1" w:styleId="79">
    <w:name w:val="批注主题[858D7CFB-ED40-4347-BF05-701D383B685F][858D7CFB-ED40-4347-BF05-701D383B685F]"/>
    <w:basedOn w:val="17"/>
    <w:next w:val="17"/>
    <w:autoRedefine/>
    <w:qFormat/>
    <w:uiPriority w:val="0"/>
    <w:rPr>
      <w:b/>
      <w:bCs/>
    </w:rPr>
  </w:style>
  <w:style w:type="paragraph" w:customStyle="1" w:styleId="80">
    <w:name w:val="font6"/>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1">
    <w:name w:val="Char1 Char Char Char"/>
    <w:basedOn w:val="1"/>
    <w:autoRedefine/>
    <w:qFormat/>
    <w:uiPriority w:val="0"/>
    <w:pPr>
      <w:tabs>
        <w:tab w:val="left" w:pos="990"/>
      </w:tabs>
      <w:ind w:left="990" w:hanging="420"/>
    </w:pPr>
    <w:rPr>
      <w:szCs w:val="20"/>
    </w:rPr>
  </w:style>
  <w:style w:type="paragraph" w:customStyle="1" w:styleId="82">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83">
    <w:name w:val="xl22"/>
    <w:basedOn w:val="1"/>
    <w:autoRedefine/>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84">
    <w:name w:val="标题1"/>
    <w:autoRedefine/>
    <w:qFormat/>
    <w:uiPriority w:val="0"/>
    <w:pPr>
      <w:spacing w:line="360" w:lineRule="auto"/>
    </w:pPr>
    <w:rPr>
      <w:rFonts w:ascii="宋体" w:hAnsi="宋体" w:eastAsia="宋体" w:cs="Times New Roman"/>
      <w:b/>
      <w:bCs/>
      <w:sz w:val="30"/>
      <w:lang w:val="en-US" w:eastAsia="zh-CN" w:bidi="ar-SA"/>
    </w:rPr>
  </w:style>
  <w:style w:type="paragraph" w:customStyle="1" w:styleId="85">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三级无标题条"/>
    <w:basedOn w:val="1"/>
    <w:autoRedefine/>
    <w:qFormat/>
    <w:uiPriority w:val="0"/>
    <w:rPr>
      <w:szCs w:val="21"/>
    </w:rPr>
  </w:style>
  <w:style w:type="paragraph" w:customStyle="1" w:styleId="87">
    <w:name w:val="Char2 Char Char Char Char Char Char"/>
    <w:basedOn w:val="1"/>
    <w:autoRedefine/>
    <w:qFormat/>
    <w:uiPriority w:val="0"/>
    <w:pPr>
      <w:widowControl/>
      <w:spacing w:line="400" w:lineRule="exact"/>
      <w:jc w:val="center"/>
    </w:pPr>
  </w:style>
  <w:style w:type="paragraph" w:customStyle="1" w:styleId="88">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styleId="89">
    <w:name w:val="List Paragraph"/>
    <w:basedOn w:val="1"/>
    <w:autoRedefine/>
    <w:qFormat/>
    <w:uiPriority w:val="34"/>
    <w:pPr>
      <w:ind w:firstLine="420" w:firstLineChars="200"/>
    </w:pPr>
  </w:style>
  <w:style w:type="paragraph" w:customStyle="1" w:styleId="90">
    <w:name w:val="Char Char Char Char Char Char Char1"/>
    <w:basedOn w:val="1"/>
    <w:autoRedefine/>
    <w:qFormat/>
    <w:uiPriority w:val="0"/>
    <w:rPr>
      <w:rFonts w:ascii="Tahoma" w:hAnsi="Tahoma" w:cs="Tahoma"/>
      <w:sz w:val="30"/>
      <w:szCs w:val="30"/>
    </w:rPr>
  </w:style>
  <w:style w:type="paragraph" w:customStyle="1" w:styleId="91">
    <w:name w:val="Char"/>
    <w:basedOn w:val="1"/>
    <w:autoRedefine/>
    <w:qFormat/>
    <w:uiPriority w:val="0"/>
    <w:pPr>
      <w:widowControl/>
      <w:spacing w:after="160" w:line="240" w:lineRule="exact"/>
      <w:jc w:val="left"/>
    </w:pPr>
  </w:style>
  <w:style w:type="paragraph" w:customStyle="1" w:styleId="92">
    <w:name w:val="标准正文"/>
    <w:basedOn w:val="1"/>
    <w:autoRedefine/>
    <w:qFormat/>
    <w:uiPriority w:val="0"/>
    <w:pPr>
      <w:spacing w:line="360" w:lineRule="auto"/>
      <w:ind w:firstLine="200" w:firstLineChars="200"/>
      <w:jc w:val="center"/>
    </w:pPr>
    <w:rPr>
      <w:rFonts w:ascii="宋体" w:hAnsi="宋体"/>
      <w:snapToGrid w:val="0"/>
      <w:spacing w:val="8"/>
      <w:sz w:val="24"/>
      <w:u w:val="single"/>
    </w:rPr>
  </w:style>
  <w:style w:type="paragraph" w:customStyle="1" w:styleId="93">
    <w:name w:val="设计方案"/>
    <w:basedOn w:val="1"/>
    <w:autoRedefine/>
    <w:qFormat/>
    <w:uiPriority w:val="0"/>
    <w:pPr>
      <w:widowControl/>
      <w:spacing w:after="160" w:line="240" w:lineRule="exact"/>
      <w:jc w:val="left"/>
    </w:pPr>
    <w:rPr>
      <w:sz w:val="24"/>
      <w:szCs w:val="20"/>
    </w:rPr>
  </w:style>
  <w:style w:type="paragraph" w:customStyle="1" w:styleId="9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95">
    <w:name w:val="列出段落1"/>
    <w:basedOn w:val="1"/>
    <w:autoRedefine/>
    <w:qFormat/>
    <w:uiPriority w:val="0"/>
    <w:pPr>
      <w:ind w:firstLine="420" w:firstLineChars="200"/>
    </w:pPr>
    <w:rPr>
      <w:rFonts w:ascii="Calibri" w:hAnsi="Calibri"/>
      <w:szCs w:val="22"/>
    </w:rPr>
  </w:style>
  <w:style w:type="paragraph" w:customStyle="1" w:styleId="96">
    <w:name w:val="大标题空格"/>
    <w:basedOn w:val="1"/>
    <w:autoRedefine/>
    <w:qFormat/>
    <w:uiPriority w:val="0"/>
    <w:pPr>
      <w:spacing w:line="300" w:lineRule="auto"/>
    </w:pPr>
    <w:rPr>
      <w:rFonts w:ascii="宋体" w:hAnsi="宋体"/>
      <w:b/>
      <w:sz w:val="32"/>
    </w:rPr>
  </w:style>
  <w:style w:type="paragraph" w:customStyle="1" w:styleId="97">
    <w:name w:val="Char Char Char Char Char Char Char Char Char Char"/>
    <w:basedOn w:val="1"/>
    <w:autoRedefine/>
    <w:qFormat/>
    <w:uiPriority w:val="0"/>
    <w:rPr>
      <w:rFonts w:ascii="Tahoma" w:hAnsi="Tahoma"/>
      <w:sz w:val="24"/>
      <w:szCs w:val="20"/>
    </w:rPr>
  </w:style>
  <w:style w:type="paragraph" w:customStyle="1" w:styleId="98">
    <w:name w:val="五级无标题条"/>
    <w:basedOn w:val="1"/>
    <w:autoRedefine/>
    <w:qFormat/>
    <w:uiPriority w:val="0"/>
    <w:rPr>
      <w:szCs w:val="21"/>
    </w:rPr>
  </w:style>
  <w:style w:type="paragraph" w:customStyle="1" w:styleId="99">
    <w:name w:val="大标题"/>
    <w:basedOn w:val="2"/>
    <w:autoRedefine/>
    <w:qFormat/>
    <w:uiPriority w:val="0"/>
    <w:rPr>
      <w:rFonts w:ascii="宋体"/>
      <w:snapToGrid w:val="0"/>
      <w:kern w:val="0"/>
      <w:sz w:val="52"/>
      <w:szCs w:val="72"/>
    </w:rPr>
  </w:style>
  <w:style w:type="paragraph" w:customStyle="1" w:styleId="100">
    <w:name w:val="样式 宋体 四号 加粗 海绿 首行缩进:  0.85 厘米 行距: 1.5 倍行距"/>
    <w:basedOn w:val="1"/>
    <w:autoRedefine/>
    <w:qFormat/>
    <w:uiPriority w:val="0"/>
    <w:pPr>
      <w:widowControl/>
      <w:tabs>
        <w:tab w:val="left" w:pos="900"/>
      </w:tabs>
      <w:ind w:left="900" w:hanging="420"/>
      <w:jc w:val="left"/>
    </w:pPr>
    <w:rPr>
      <w:kern w:val="0"/>
      <w:sz w:val="24"/>
    </w:rPr>
  </w:style>
  <w:style w:type="paragraph" w:customStyle="1" w:styleId="101">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102">
    <w:name w:val="题注4"/>
    <w:basedOn w:val="1"/>
    <w:next w:val="15"/>
    <w:autoRedefine/>
    <w:qFormat/>
    <w:uiPriority w:val="0"/>
    <w:pPr>
      <w:spacing w:line="520" w:lineRule="exact"/>
    </w:pPr>
    <w:rPr>
      <w:rFonts w:ascii="宋体" w:hAnsi="宋体"/>
      <w:color w:val="000000"/>
      <w:spacing w:val="-10"/>
      <w:sz w:val="24"/>
    </w:rPr>
  </w:style>
  <w:style w:type="paragraph" w:customStyle="1" w:styleId="103">
    <w:name w:val="样式2"/>
    <w:basedOn w:val="1"/>
    <w:autoRedefine/>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104">
    <w:name w:val="Char1 Char Char Char1"/>
    <w:basedOn w:val="1"/>
    <w:autoRedefine/>
    <w:qFormat/>
    <w:uiPriority w:val="0"/>
    <w:rPr>
      <w:szCs w:val="20"/>
    </w:rPr>
  </w:style>
  <w:style w:type="paragraph" w:customStyle="1" w:styleId="105">
    <w:name w:val="样式 标题 2 + 宋体 五号 非加粗 黑色"/>
    <w:basedOn w:val="3"/>
    <w:autoRedefine/>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6">
    <w:name w:val="封面空格"/>
    <w:basedOn w:val="1"/>
    <w:autoRedefine/>
    <w:qFormat/>
    <w:uiPriority w:val="0"/>
    <w:pPr>
      <w:spacing w:line="360" w:lineRule="auto"/>
      <w:jc w:val="distribute"/>
    </w:pPr>
    <w:rPr>
      <w:rFonts w:ascii="宋体"/>
      <w:b/>
      <w:sz w:val="58"/>
    </w:rPr>
  </w:style>
  <w:style w:type="paragraph" w:customStyle="1" w:styleId="107">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8">
    <w:name w:val="Char Char Char Char Char Char Char"/>
    <w:basedOn w:val="1"/>
    <w:autoRedefine/>
    <w:qFormat/>
    <w:uiPriority w:val="0"/>
    <w:pPr>
      <w:widowControl/>
      <w:adjustRightInd w:val="0"/>
      <w:spacing w:after="160" w:line="240" w:lineRule="exact"/>
      <w:jc w:val="left"/>
      <w:textAlignment w:val="baseline"/>
    </w:pPr>
  </w:style>
  <w:style w:type="paragraph" w:customStyle="1" w:styleId="109">
    <w:name w:val="默认段落字体 Para Char Char Char Char"/>
    <w:basedOn w:val="1"/>
    <w:autoRedefine/>
    <w:qFormat/>
    <w:uiPriority w:val="0"/>
    <w:rPr>
      <w:szCs w:val="20"/>
    </w:rPr>
  </w:style>
  <w:style w:type="paragraph" w:customStyle="1" w:styleId="110">
    <w:name w:val="Char Char"/>
    <w:basedOn w:val="1"/>
    <w:autoRedefine/>
    <w:qFormat/>
    <w:uiPriority w:val="0"/>
  </w:style>
  <w:style w:type="paragraph" w:customStyle="1" w:styleId="111">
    <w:name w:val="Char1 Char Char Char Char Char Char Char Char Char"/>
    <w:basedOn w:val="1"/>
    <w:autoRedefine/>
    <w:qFormat/>
    <w:uiPriority w:val="0"/>
    <w:pPr>
      <w:widowControl/>
      <w:spacing w:line="400" w:lineRule="exact"/>
      <w:jc w:val="center"/>
    </w:pPr>
    <w:rPr>
      <w:rFonts w:ascii="Verdana" w:hAnsi="Verdana" w:cs="Verdana"/>
      <w:kern w:val="0"/>
      <w:szCs w:val="21"/>
      <w:lang w:eastAsia="en-US"/>
    </w:rPr>
  </w:style>
  <w:style w:type="paragraph" w:customStyle="1" w:styleId="112">
    <w:name w:val="四级无标题条"/>
    <w:basedOn w:val="1"/>
    <w:autoRedefine/>
    <w:qFormat/>
    <w:uiPriority w:val="0"/>
    <w:rPr>
      <w:szCs w:val="21"/>
    </w:rPr>
  </w:style>
  <w:style w:type="paragraph" w:customStyle="1" w:styleId="113">
    <w:name w:val="默认段落字体 Para Char"/>
    <w:basedOn w:val="1"/>
    <w:autoRedefine/>
    <w:qFormat/>
    <w:uiPriority w:val="0"/>
    <w:rPr>
      <w:sz w:val="24"/>
    </w:rPr>
  </w:style>
  <w:style w:type="paragraph" w:customStyle="1" w:styleId="114">
    <w:name w:val="p0"/>
    <w:basedOn w:val="1"/>
    <w:autoRedefine/>
    <w:qFormat/>
    <w:uiPriority w:val="0"/>
    <w:pPr>
      <w:widowControl/>
    </w:pPr>
    <w:rPr>
      <w:kern w:val="0"/>
      <w:szCs w:val="21"/>
    </w:rPr>
  </w:style>
  <w:style w:type="paragraph" w:customStyle="1" w:styleId="115">
    <w:name w:val="征文"/>
    <w:basedOn w:val="45"/>
    <w:autoRedefine/>
    <w:qFormat/>
    <w:uiPriority w:val="0"/>
    <w:pPr>
      <w:spacing w:after="0" w:line="240" w:lineRule="auto"/>
    </w:pPr>
    <w:rPr>
      <w:rFonts w:eastAsia="仿宋_GB2312"/>
      <w:sz w:val="24"/>
      <w:szCs w:val="20"/>
    </w:rPr>
  </w:style>
  <w:style w:type="paragraph" w:customStyle="1" w:styleId="116">
    <w:name w:val="标题2"/>
    <w:autoRedefine/>
    <w:qFormat/>
    <w:uiPriority w:val="0"/>
    <w:pPr>
      <w:spacing w:line="360" w:lineRule="auto"/>
      <w:jc w:val="both"/>
    </w:pPr>
    <w:rPr>
      <w:rFonts w:ascii="宋体" w:hAnsi="宋体" w:eastAsia="宋体" w:cs="宋体"/>
      <w:b/>
      <w:bCs/>
      <w:kern w:val="2"/>
      <w:sz w:val="26"/>
      <w:lang w:val="en-US" w:eastAsia="zh-CN" w:bidi="ar-SA"/>
    </w:rPr>
  </w:style>
  <w:style w:type="paragraph" w:customStyle="1" w:styleId="117">
    <w:name w:val="李3"/>
    <w:basedOn w:val="1"/>
    <w:autoRedefine/>
    <w:qFormat/>
    <w:uiPriority w:val="0"/>
    <w:pPr>
      <w:adjustRightInd w:val="0"/>
      <w:snapToGrid w:val="0"/>
      <w:spacing w:line="240" w:lineRule="exact"/>
      <w:jc w:val="left"/>
      <w:outlineLvl w:val="2"/>
    </w:pPr>
    <w:rPr>
      <w:rFonts w:ascii="Arial" w:hAnsi="Arial" w:cs="Arial"/>
    </w:rPr>
  </w:style>
  <w:style w:type="paragraph" w:customStyle="1" w:styleId="118">
    <w:name w:val="Char Char Char1 Char"/>
    <w:basedOn w:val="16"/>
    <w:autoRedefine/>
    <w:qFormat/>
    <w:uiPriority w:val="0"/>
    <w:rPr>
      <w:rFonts w:ascii="Tahoma" w:hAnsi="Tahoma"/>
      <w:sz w:val="24"/>
    </w:rPr>
  </w:style>
  <w:style w:type="paragraph" w:customStyle="1" w:styleId="119">
    <w:name w:val="基准标题"/>
    <w:basedOn w:val="20"/>
    <w:next w:val="20"/>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20">
    <w:name w:val="Char Char Char Char"/>
    <w:basedOn w:val="1"/>
    <w:autoRedefine/>
    <w:qFormat/>
    <w:uiPriority w:val="0"/>
    <w:pPr>
      <w:widowControl/>
      <w:spacing w:after="160" w:line="240" w:lineRule="exact"/>
      <w:jc w:val="left"/>
    </w:pPr>
    <w:rPr>
      <w:kern w:val="0"/>
      <w:sz w:val="20"/>
      <w:szCs w:val="20"/>
    </w:rPr>
  </w:style>
  <w:style w:type="paragraph" w:customStyle="1" w:styleId="121">
    <w:name w:val="_Style 119"/>
    <w:basedOn w:val="2"/>
    <w:next w:val="1"/>
    <w:autoRedefine/>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2">
    <w:name w:val="样式4"/>
    <w:basedOn w:val="1"/>
    <w:autoRedefine/>
    <w:qFormat/>
    <w:uiPriority w:val="0"/>
    <w:pPr>
      <w:pBdr>
        <w:top w:val="single" w:color="auto" w:sz="4" w:space="1"/>
      </w:pBdr>
    </w:pPr>
  </w:style>
  <w:style w:type="paragraph" w:customStyle="1" w:styleId="123">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2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5">
    <w:name w:val="封面1"/>
    <w:basedOn w:val="1"/>
    <w:autoRedefine/>
    <w:qFormat/>
    <w:uiPriority w:val="0"/>
    <w:pPr>
      <w:spacing w:line="360" w:lineRule="auto"/>
      <w:jc w:val="distribute"/>
    </w:pPr>
    <w:rPr>
      <w:rFonts w:ascii="黑体" w:eastAsia="黑体"/>
      <w:b/>
      <w:sz w:val="58"/>
    </w:rPr>
  </w:style>
  <w:style w:type="paragraph" w:customStyle="1" w:styleId="12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7">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28">
    <w:name w:val="Char Char Char"/>
    <w:basedOn w:val="1"/>
    <w:autoRedefine/>
    <w:qFormat/>
    <w:uiPriority w:val="0"/>
    <w:rPr>
      <w:rFonts w:ascii="Tahoma" w:hAnsi="Tahoma"/>
      <w:sz w:val="24"/>
      <w:szCs w:val="20"/>
    </w:rPr>
  </w:style>
  <w:style w:type="paragraph" w:customStyle="1" w:styleId="129">
    <w:name w:val="标题3"/>
    <w:basedOn w:val="5"/>
    <w:autoRedefine/>
    <w:qFormat/>
    <w:uiPriority w:val="0"/>
    <w:pPr>
      <w:numPr>
        <w:ilvl w:val="0"/>
        <w:numId w:val="0"/>
      </w:numPr>
      <w:spacing w:before="0" w:after="0" w:line="360" w:lineRule="auto"/>
    </w:pPr>
    <w:rPr>
      <w:b w:val="0"/>
      <w:sz w:val="24"/>
      <w:szCs w:val="24"/>
    </w:rPr>
  </w:style>
  <w:style w:type="paragraph" w:customStyle="1" w:styleId="130">
    <w:name w:val="封面2"/>
    <w:basedOn w:val="1"/>
    <w:autoRedefine/>
    <w:qFormat/>
    <w:uiPriority w:val="0"/>
    <w:pPr>
      <w:spacing w:line="360" w:lineRule="auto"/>
      <w:jc w:val="center"/>
    </w:pPr>
    <w:rPr>
      <w:rFonts w:ascii="黑体" w:hAnsi="宋体" w:eastAsia="黑体"/>
      <w:b/>
      <w:spacing w:val="-30"/>
      <w:sz w:val="96"/>
    </w:rPr>
  </w:style>
  <w:style w:type="character" w:customStyle="1" w:styleId="131">
    <w:name w:val="正文缩进 Char Char"/>
    <w:autoRedefine/>
    <w:qFormat/>
    <w:uiPriority w:val="0"/>
    <w:rPr>
      <w:rFonts w:eastAsia="宋体"/>
      <w:kern w:val="2"/>
      <w:sz w:val="21"/>
      <w:szCs w:val="24"/>
      <w:lang w:val="en-US" w:eastAsia="zh-CN" w:bidi="ar-SA"/>
    </w:rPr>
  </w:style>
  <w:style w:type="character" w:customStyle="1" w:styleId="132">
    <w:name w:val="A4"/>
    <w:autoRedefine/>
    <w:qFormat/>
    <w:uiPriority w:val="0"/>
    <w:rPr>
      <w:rFonts w:hint="eastAsia" w:ascii="新宋体" w:hAnsi="新宋体" w:eastAsia="新宋体" w:cs="新宋体"/>
      <w:color w:val="000000"/>
    </w:rPr>
  </w:style>
  <w:style w:type="character" w:customStyle="1" w:styleId="133">
    <w:name w:val="纯文本 Char Char"/>
    <w:autoRedefine/>
    <w:qFormat/>
    <w:uiPriority w:val="0"/>
    <w:rPr>
      <w:rFonts w:ascii="宋体" w:hAnsi="Courier New" w:eastAsia="宋体"/>
      <w:kern w:val="2"/>
      <w:sz w:val="21"/>
      <w:lang w:val="en-US" w:eastAsia="zh-CN" w:bidi="ar-SA"/>
    </w:rPr>
  </w:style>
  <w:style w:type="character" w:customStyle="1" w:styleId="134">
    <w:name w:val="页眉 Char"/>
    <w:link w:val="35"/>
    <w:autoRedefine/>
    <w:qFormat/>
    <w:uiPriority w:val="0"/>
    <w:rPr>
      <w:rFonts w:eastAsia="宋体"/>
      <w:kern w:val="2"/>
      <w:sz w:val="18"/>
      <w:szCs w:val="18"/>
      <w:lang w:val="en-US" w:eastAsia="zh-CN" w:bidi="ar-SA"/>
    </w:rPr>
  </w:style>
  <w:style w:type="character" w:customStyle="1" w:styleId="135">
    <w:name w:val="s10pv000000"/>
    <w:autoRedefine/>
    <w:qFormat/>
    <w:uiPriority w:val="0"/>
    <w:rPr>
      <w:rFonts w:eastAsia="宋体"/>
      <w:kern w:val="2"/>
      <w:sz w:val="24"/>
      <w:szCs w:val="24"/>
      <w:lang w:val="en-US" w:eastAsia="zh-CN" w:bidi="ar-SA"/>
    </w:rPr>
  </w:style>
  <w:style w:type="character" w:customStyle="1" w:styleId="136">
    <w:name w:val="标题 2 Char"/>
    <w:autoRedefine/>
    <w:qFormat/>
    <w:uiPriority w:val="0"/>
    <w:rPr>
      <w:rFonts w:ascii="宋体" w:hAnsi="Arial" w:eastAsia="宋体" w:cs="Arial"/>
      <w:b/>
      <w:bCs/>
      <w:color w:val="000000"/>
      <w:kern w:val="2"/>
      <w:sz w:val="28"/>
      <w:szCs w:val="28"/>
      <w:lang w:val="en-US" w:eastAsia="zh-CN" w:bidi="ar-SA"/>
    </w:rPr>
  </w:style>
  <w:style w:type="character" w:customStyle="1" w:styleId="137">
    <w:name w:val="f141"/>
    <w:autoRedefine/>
    <w:qFormat/>
    <w:uiPriority w:val="0"/>
    <w:rPr>
      <w:rFonts w:eastAsia="宋体"/>
      <w:kern w:val="2"/>
      <w:sz w:val="21"/>
      <w:szCs w:val="21"/>
      <w:lang w:val="en-US" w:eastAsia="zh-CN" w:bidi="ar-SA"/>
    </w:rPr>
  </w:style>
  <w:style w:type="character" w:customStyle="1" w:styleId="138">
    <w:name w:val="样式1"/>
    <w:autoRedefine/>
    <w:qFormat/>
    <w:uiPriority w:val="0"/>
    <w:rPr>
      <w:spacing w:val="4"/>
      <w:kern w:val="0"/>
      <w:sz w:val="28"/>
    </w:rPr>
  </w:style>
  <w:style w:type="character" w:customStyle="1" w:styleId="139">
    <w:name w:val="Char Char1"/>
    <w:autoRedefine/>
    <w:qFormat/>
    <w:uiPriority w:val="0"/>
    <w:rPr>
      <w:rFonts w:ascii="宋体" w:hAnsi="宋体" w:eastAsia="宋体"/>
      <w:kern w:val="2"/>
      <w:sz w:val="18"/>
      <w:szCs w:val="18"/>
      <w:lang w:val="en-US" w:eastAsia="zh-CN" w:bidi="ar-SA"/>
    </w:rPr>
  </w:style>
  <w:style w:type="character" w:customStyle="1" w:styleId="140">
    <w:name w:val="标题5"/>
    <w:autoRedefine/>
    <w:qFormat/>
    <w:uiPriority w:val="0"/>
    <w:rPr>
      <w:rFonts w:eastAsia="宋体"/>
      <w:kern w:val="2"/>
      <w:sz w:val="24"/>
      <w:szCs w:val="24"/>
      <w:lang w:val="en-US" w:eastAsia="zh-CN" w:bidi="ar-SA"/>
    </w:rPr>
  </w:style>
  <w:style w:type="character" w:customStyle="1" w:styleId="141">
    <w:name w:val="正文1"/>
    <w:autoRedefine/>
    <w:qFormat/>
    <w:uiPriority w:val="0"/>
    <w:rPr>
      <w:rFonts w:hint="eastAsia" w:ascii="宋体" w:hAnsi="宋体" w:eastAsia="宋体"/>
      <w:kern w:val="2"/>
      <w:sz w:val="24"/>
      <w:szCs w:val="24"/>
      <w:lang w:val="en-US" w:eastAsia="zh-CN" w:bidi="ar-SA"/>
    </w:rPr>
  </w:style>
  <w:style w:type="character" w:customStyle="1" w:styleId="142">
    <w:name w:val="普通文字 Char Char"/>
    <w:autoRedefine/>
    <w:qFormat/>
    <w:uiPriority w:val="0"/>
    <w:rPr>
      <w:rFonts w:ascii="宋体" w:hAnsi="Courier New" w:eastAsia="宋体" w:cs="Courier New"/>
      <w:sz w:val="21"/>
      <w:szCs w:val="21"/>
      <w:lang w:val="en-US" w:eastAsia="zh-CN" w:bidi="ar-SA"/>
    </w:rPr>
  </w:style>
  <w:style w:type="character" w:customStyle="1" w:styleId="143">
    <w:name w:val="批注文字 Char"/>
    <w:link w:val="17"/>
    <w:autoRedefine/>
    <w:qFormat/>
    <w:uiPriority w:val="99"/>
    <w:rPr>
      <w:kern w:val="2"/>
      <w:sz w:val="21"/>
      <w:szCs w:val="24"/>
    </w:rPr>
  </w:style>
  <w:style w:type="character" w:customStyle="1" w:styleId="144">
    <w:name w:val="纯文本 Char"/>
    <w:link w:val="28"/>
    <w:autoRedefine/>
    <w:qFormat/>
    <w:uiPriority w:val="0"/>
    <w:rPr>
      <w:rFonts w:ascii="宋体" w:hAnsi="Courier New" w:eastAsia="宋体"/>
      <w:kern w:val="2"/>
      <w:sz w:val="21"/>
      <w:szCs w:val="24"/>
      <w:lang w:val="en-US" w:eastAsia="zh-CN" w:bidi="ar-SA"/>
    </w:rPr>
  </w:style>
  <w:style w:type="character" w:customStyle="1" w:styleId="145">
    <w:name w:val="标题 1 Char"/>
    <w:link w:val="2"/>
    <w:autoRedefine/>
    <w:qFormat/>
    <w:uiPriority w:val="0"/>
    <w:rPr>
      <w:rFonts w:ascii="Arial" w:hAnsi="Arial" w:cs="Arial"/>
      <w:b/>
      <w:bCs/>
      <w:kern w:val="2"/>
      <w:sz w:val="24"/>
      <w:szCs w:val="18"/>
    </w:rPr>
  </w:style>
  <w:style w:type="character" w:customStyle="1" w:styleId="146">
    <w:name w:val="p141"/>
    <w:autoRedefine/>
    <w:qFormat/>
    <w:uiPriority w:val="0"/>
    <w:rPr>
      <w:sz w:val="21"/>
      <w:szCs w:val="21"/>
    </w:rPr>
  </w:style>
  <w:style w:type="character" w:customStyle="1" w:styleId="147">
    <w:name w:val="表正文 Char1"/>
    <w:autoRedefine/>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15343</Words>
  <Characters>15784</Characters>
  <Lines>70</Lines>
  <Paragraphs>19</Paragraphs>
  <TotalTime>0</TotalTime>
  <ScaleCrop>false</ScaleCrop>
  <LinksUpToDate>false</LinksUpToDate>
  <CharactersWithSpaces>16546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2023-12-20T08:32:00Z</dcterms:created>
  <dc:creator>WPS_1559138754</dc:creator>
  <cp:lastModifiedBy>WPS_1559138754</cp:lastModifiedBy>
  <dcterms:modified xsi:type="dcterms:W3CDTF">2023-12-20T08:38:47Z</dcterms:modified>
  <dc:title>_x0001_</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0651A83346904E65913C7FD776EC6113_11</vt:lpwstr>
  </property>
  <property fmtid="{D5CDD505-2E9C-101B-9397-08002B2CF9AE}" pid="4" name="commondata">
    <vt:lpwstr>eyJoZGlkIjoiYzIxZTZhYzdhZmFmYjRlMGZhNjkyNjQ0YjRiN2E3NWIifQ==</vt:lpwstr>
  </property>
</Properties>
</file>