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25E8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pacing w:val="-2"/>
          <w:kern w:val="15"/>
          <w:sz w:val="84"/>
          <w:szCs w:val="84"/>
        </w:rPr>
      </w:pPr>
      <w:r>
        <w:rPr>
          <w:rFonts w:hint="eastAsia" w:ascii="宋体" w:hAnsi="宋体" w:eastAsia="宋体" w:cs="宋体"/>
          <w:b/>
          <w:color w:val="auto"/>
          <w:spacing w:val="-2"/>
          <w:kern w:val="15"/>
          <w:sz w:val="84"/>
          <w:szCs w:val="84"/>
        </w:rPr>
        <w:t>天河区农村集体资产</w:t>
      </w:r>
    </w:p>
    <w:p w14:paraId="4AC08E7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pacing w:val="-2"/>
          <w:kern w:val="15"/>
          <w:sz w:val="84"/>
          <w:szCs w:val="84"/>
        </w:rPr>
      </w:pPr>
      <w:r>
        <w:rPr>
          <w:rFonts w:hint="eastAsia" w:ascii="宋体" w:hAnsi="宋体" w:eastAsia="宋体" w:cs="宋体"/>
          <w:b/>
          <w:color w:val="auto"/>
          <w:spacing w:val="-2"/>
          <w:kern w:val="15"/>
          <w:sz w:val="84"/>
          <w:szCs w:val="84"/>
        </w:rPr>
        <w:t>出租交易文件</w:t>
      </w:r>
    </w:p>
    <w:p w14:paraId="6B6CE764">
      <w:pPr>
        <w:keepNext w:val="0"/>
        <w:keepLines w:val="0"/>
        <w:pageBreakBefore w:val="0"/>
        <w:kinsoku/>
        <w:topLinePunct w:val="0"/>
        <w:bidi w:val="0"/>
        <w:spacing w:after="0" w:line="560" w:lineRule="exact"/>
        <w:textAlignment w:val="auto"/>
        <w:rPr>
          <w:rFonts w:hint="eastAsia" w:ascii="宋体" w:hAnsi="宋体" w:eastAsia="宋体" w:cs="宋体"/>
          <w:color w:val="auto"/>
          <w:sz w:val="24"/>
        </w:rPr>
      </w:pPr>
    </w:p>
    <w:p w14:paraId="4D688036">
      <w:pPr>
        <w:keepNext w:val="0"/>
        <w:keepLines w:val="0"/>
        <w:pageBreakBefore w:val="0"/>
        <w:kinsoku/>
        <w:topLinePunct w:val="0"/>
        <w:bidi w:val="0"/>
        <w:spacing w:after="0" w:line="560" w:lineRule="exact"/>
        <w:textAlignment w:val="auto"/>
        <w:rPr>
          <w:rFonts w:hint="eastAsia" w:ascii="宋体" w:hAnsi="宋体" w:eastAsia="宋体" w:cs="宋体"/>
          <w:color w:val="auto"/>
          <w:sz w:val="28"/>
          <w:szCs w:val="28"/>
        </w:rPr>
      </w:pPr>
    </w:p>
    <w:p w14:paraId="272F987B">
      <w:pPr>
        <w:keepNext w:val="0"/>
        <w:keepLines w:val="0"/>
        <w:pageBreakBefore w:val="0"/>
        <w:kinsoku/>
        <w:topLinePunct w:val="0"/>
        <w:bidi w:val="0"/>
        <w:spacing w:after="0" w:line="560" w:lineRule="exact"/>
        <w:textAlignment w:val="auto"/>
        <w:rPr>
          <w:rFonts w:hint="eastAsia" w:ascii="宋体" w:hAnsi="宋体" w:eastAsia="宋体" w:cs="宋体"/>
          <w:color w:val="auto"/>
          <w:sz w:val="24"/>
        </w:rPr>
      </w:pPr>
    </w:p>
    <w:p w14:paraId="570277EF">
      <w:pPr>
        <w:pStyle w:val="4"/>
        <w:keepNext w:val="0"/>
        <w:keepLines w:val="0"/>
        <w:pageBreakBefore w:val="0"/>
        <w:kinsoku/>
        <w:topLinePunct w:val="0"/>
        <w:bidi w:val="0"/>
        <w:spacing w:after="0" w:line="560" w:lineRule="exact"/>
        <w:ind w:firstLine="1285" w:firstLineChars="400"/>
        <w:textAlignment w:val="auto"/>
        <w:rPr>
          <w:rFonts w:hint="eastAsia" w:ascii="宋体" w:hAnsi="宋体" w:eastAsia="宋体" w:cs="宋体"/>
          <w:b/>
          <w:color w:val="auto"/>
          <w:sz w:val="32"/>
        </w:rPr>
      </w:pPr>
      <w:r>
        <w:rPr>
          <w:rFonts w:hint="eastAsia" w:ascii="宋体" w:hAnsi="宋体" w:eastAsia="宋体" w:cs="宋体"/>
          <w:b/>
          <w:color w:val="auto"/>
          <w:sz w:val="32"/>
        </w:rPr>
        <w:t>项目编号：</w:t>
      </w:r>
      <w:r>
        <w:rPr>
          <w:rFonts w:hint="eastAsia" w:ascii="宋体" w:hAnsi="宋体" w:eastAsia="宋体" w:cs="宋体"/>
          <w:color w:val="auto"/>
          <w:spacing w:val="0"/>
          <w:position w:val="0"/>
          <w:sz w:val="32"/>
          <w:u w:val="single"/>
          <w:shd w:val="clear" w:color="auto" w:fill="auto"/>
        </w:rPr>
        <w:t>石牌经济联社交﹝2025﹞</w:t>
      </w:r>
      <w:r>
        <w:rPr>
          <w:rFonts w:hint="eastAsia" w:ascii="宋体" w:hAnsi="宋体" w:eastAsia="宋体" w:cs="宋体"/>
          <w:bCs/>
          <w:sz w:val="32"/>
          <w:szCs w:val="32"/>
          <w:u w:val="single"/>
        </w:rPr>
        <w:t>0068-0077、0079-0089、0093、0097-0108、0111-0118、0120-0126、0128</w:t>
      </w:r>
      <w:r>
        <w:rPr>
          <w:rFonts w:hint="eastAsia" w:ascii="宋体" w:hAnsi="宋体" w:eastAsia="宋体" w:cs="宋体"/>
          <w:color w:val="auto"/>
          <w:spacing w:val="0"/>
          <w:position w:val="0"/>
          <w:sz w:val="32"/>
          <w:u w:val="single"/>
          <w:shd w:val="clear" w:color="auto" w:fill="auto"/>
        </w:rPr>
        <w:t>号</w:t>
      </w:r>
    </w:p>
    <w:p w14:paraId="50366B31">
      <w:pPr>
        <w:pStyle w:val="4"/>
        <w:keepNext w:val="0"/>
        <w:keepLines w:val="0"/>
        <w:pageBreakBefore w:val="0"/>
        <w:kinsoku/>
        <w:topLinePunct w:val="0"/>
        <w:bidi w:val="0"/>
        <w:spacing w:after="0" w:line="560" w:lineRule="exact"/>
        <w:ind w:firstLine="1285" w:firstLineChars="400"/>
        <w:textAlignment w:val="auto"/>
        <w:rPr>
          <w:rFonts w:hint="eastAsia" w:ascii="宋体" w:hAnsi="宋体" w:eastAsia="宋体" w:cs="宋体"/>
          <w:b/>
          <w:color w:val="auto"/>
          <w:sz w:val="32"/>
          <w:u w:val="single"/>
        </w:rPr>
      </w:pPr>
      <w:r>
        <w:rPr>
          <w:rFonts w:hint="eastAsia" w:ascii="宋体" w:hAnsi="宋体" w:eastAsia="宋体" w:cs="宋体"/>
          <w:b/>
          <w:color w:val="auto"/>
          <w:sz w:val="32"/>
        </w:rPr>
        <w:t>项目名称：</w:t>
      </w:r>
      <w:r>
        <w:rPr>
          <w:rFonts w:hint="eastAsia" w:ascii="宋体" w:hAnsi="宋体" w:eastAsia="宋体" w:cs="宋体"/>
          <w:color w:val="auto"/>
          <w:spacing w:val="0"/>
          <w:position w:val="0"/>
          <w:sz w:val="32"/>
          <w:u w:val="single"/>
          <w:shd w:val="clear" w:color="auto" w:fill="auto"/>
        </w:rPr>
        <w:t>天河区石牌东路87、89、91、93、95、97号 市场综合楼</w:t>
      </w:r>
      <w:r>
        <w:rPr>
          <w:rFonts w:hint="eastAsia" w:ascii="宋体" w:hAnsi="宋体" w:cs="宋体"/>
          <w:color w:val="auto"/>
          <w:spacing w:val="0"/>
          <w:position w:val="0"/>
          <w:sz w:val="32"/>
          <w:u w:val="single"/>
          <w:shd w:val="clear" w:color="auto" w:fill="auto"/>
          <w:lang w:val="en-US" w:eastAsia="zh-CN"/>
        </w:rPr>
        <w:t>首层档位</w:t>
      </w:r>
      <w:r>
        <w:rPr>
          <w:rFonts w:hint="eastAsia" w:ascii="宋体" w:hAnsi="宋体" w:eastAsia="宋体" w:cs="宋体"/>
          <w:bCs/>
          <w:sz w:val="32"/>
          <w:szCs w:val="32"/>
          <w:u w:val="single"/>
        </w:rPr>
        <w:t>（共50个项目）</w:t>
      </w:r>
      <w:r>
        <w:rPr>
          <w:rFonts w:hint="eastAsia" w:ascii="宋体" w:hAnsi="宋体" w:eastAsia="宋体" w:cs="宋体"/>
          <w:color w:val="auto"/>
          <w:spacing w:val="0"/>
          <w:position w:val="0"/>
          <w:sz w:val="32"/>
          <w:u w:val="single"/>
          <w:shd w:val="clear" w:color="auto" w:fill="auto"/>
        </w:rPr>
        <w:t>出租</w:t>
      </w:r>
    </w:p>
    <w:p w14:paraId="4E82184C">
      <w:pPr>
        <w:pStyle w:val="4"/>
        <w:keepNext w:val="0"/>
        <w:keepLines w:val="0"/>
        <w:pageBreakBefore w:val="0"/>
        <w:kinsoku/>
        <w:topLinePunct w:val="0"/>
        <w:bidi w:val="0"/>
        <w:spacing w:after="0" w:line="560" w:lineRule="exact"/>
        <w:ind w:firstLine="1205" w:firstLineChars="400"/>
        <w:textAlignment w:val="auto"/>
        <w:rPr>
          <w:rFonts w:hint="eastAsia" w:ascii="宋体" w:hAnsi="宋体" w:eastAsia="宋体" w:cs="宋体"/>
          <w:b/>
          <w:color w:val="auto"/>
          <w:sz w:val="30"/>
          <w:szCs w:val="30"/>
        </w:rPr>
      </w:pPr>
    </w:p>
    <w:p w14:paraId="3F53F019">
      <w:pPr>
        <w:pStyle w:val="4"/>
        <w:keepNext w:val="0"/>
        <w:keepLines w:val="0"/>
        <w:pageBreakBefore w:val="0"/>
        <w:kinsoku/>
        <w:topLinePunct w:val="0"/>
        <w:bidi w:val="0"/>
        <w:spacing w:after="0" w:line="560" w:lineRule="exact"/>
        <w:ind w:firstLine="1205" w:firstLineChars="400"/>
        <w:textAlignment w:val="auto"/>
        <w:rPr>
          <w:rFonts w:hint="eastAsia" w:ascii="宋体" w:hAnsi="宋体" w:eastAsia="宋体" w:cs="宋体"/>
          <w:b/>
          <w:color w:val="auto"/>
          <w:sz w:val="30"/>
          <w:szCs w:val="30"/>
        </w:rPr>
      </w:pPr>
    </w:p>
    <w:p w14:paraId="6BE31698">
      <w:pPr>
        <w:pStyle w:val="4"/>
        <w:keepNext w:val="0"/>
        <w:keepLines w:val="0"/>
        <w:pageBreakBefore w:val="0"/>
        <w:kinsoku/>
        <w:topLinePunct w:val="0"/>
        <w:bidi w:val="0"/>
        <w:spacing w:after="0" w:line="560" w:lineRule="exact"/>
        <w:ind w:firstLine="1205" w:firstLineChars="400"/>
        <w:textAlignment w:val="auto"/>
        <w:rPr>
          <w:rFonts w:hint="eastAsia" w:ascii="宋体" w:hAnsi="宋体" w:eastAsia="宋体" w:cs="宋体"/>
          <w:b/>
          <w:color w:val="auto"/>
          <w:sz w:val="30"/>
          <w:szCs w:val="30"/>
        </w:rPr>
      </w:pPr>
    </w:p>
    <w:p w14:paraId="6DB103A5">
      <w:pPr>
        <w:pStyle w:val="4"/>
        <w:keepNext w:val="0"/>
        <w:keepLines w:val="0"/>
        <w:pageBreakBefore w:val="0"/>
        <w:kinsoku/>
        <w:topLinePunct w:val="0"/>
        <w:bidi w:val="0"/>
        <w:spacing w:after="0" w:line="560" w:lineRule="exact"/>
        <w:ind w:firstLine="1205" w:firstLineChars="400"/>
        <w:textAlignment w:val="auto"/>
        <w:rPr>
          <w:rFonts w:hint="eastAsia" w:ascii="宋体" w:hAnsi="宋体" w:eastAsia="宋体" w:cs="宋体"/>
          <w:b/>
          <w:color w:val="auto"/>
          <w:sz w:val="30"/>
          <w:szCs w:val="30"/>
        </w:rPr>
      </w:pPr>
    </w:p>
    <w:p w14:paraId="1E18F13C">
      <w:pPr>
        <w:pStyle w:val="4"/>
        <w:keepNext w:val="0"/>
        <w:keepLines w:val="0"/>
        <w:pageBreakBefore w:val="0"/>
        <w:kinsoku/>
        <w:topLinePunct w:val="0"/>
        <w:bidi w:val="0"/>
        <w:spacing w:after="0" w:line="560" w:lineRule="exact"/>
        <w:ind w:firstLine="1285" w:firstLineChars="400"/>
        <w:textAlignment w:val="auto"/>
        <w:rPr>
          <w:rFonts w:hint="eastAsia" w:ascii="宋体" w:hAnsi="宋体" w:eastAsia="宋体" w:cs="宋体"/>
          <w:b/>
          <w:color w:val="auto"/>
          <w:sz w:val="32"/>
          <w:u w:val="single"/>
        </w:rPr>
      </w:pPr>
      <w:r>
        <w:rPr>
          <w:rFonts w:hint="eastAsia" w:ascii="宋体" w:hAnsi="宋体" w:eastAsia="宋体" w:cs="宋体"/>
          <w:b/>
          <w:color w:val="auto"/>
          <w:sz w:val="32"/>
        </w:rPr>
        <w:t>编制单位</w:t>
      </w:r>
      <w:r>
        <w:rPr>
          <w:rFonts w:hint="eastAsia" w:ascii="宋体" w:hAnsi="宋体" w:eastAsia="宋体" w:cs="宋体"/>
          <w:b/>
          <w:color w:val="auto"/>
          <w:sz w:val="30"/>
          <w:szCs w:val="30"/>
        </w:rPr>
        <w:t>：</w:t>
      </w:r>
      <w:r>
        <w:rPr>
          <w:rFonts w:hint="eastAsia" w:ascii="宋体" w:hAnsi="宋体" w:eastAsia="宋体" w:cs="宋体"/>
          <w:color w:val="auto"/>
          <w:spacing w:val="0"/>
          <w:position w:val="0"/>
          <w:sz w:val="32"/>
          <w:u w:val="single"/>
          <w:shd w:val="clear" w:color="auto" w:fill="auto"/>
        </w:rPr>
        <w:t>广州市天河区石牌三骏企业集团有限公司</w:t>
      </w:r>
    </w:p>
    <w:p w14:paraId="764ABF92">
      <w:pPr>
        <w:pStyle w:val="4"/>
        <w:keepNext w:val="0"/>
        <w:keepLines w:val="0"/>
        <w:pageBreakBefore w:val="0"/>
        <w:kinsoku/>
        <w:topLinePunct w:val="0"/>
        <w:bidi w:val="0"/>
        <w:spacing w:after="0" w:line="560" w:lineRule="exact"/>
        <w:ind w:firstLine="1285" w:firstLineChars="400"/>
        <w:textAlignment w:val="auto"/>
        <w:rPr>
          <w:rFonts w:hint="eastAsia" w:ascii="宋体" w:hAnsi="宋体" w:eastAsia="宋体" w:cs="宋体"/>
          <w:b/>
          <w:color w:val="auto"/>
          <w:sz w:val="32"/>
        </w:rPr>
      </w:pPr>
      <w:r>
        <w:rPr>
          <w:rFonts w:hint="eastAsia" w:ascii="宋体" w:hAnsi="宋体" w:eastAsia="宋体" w:cs="宋体"/>
          <w:b/>
          <w:color w:val="auto"/>
          <w:sz w:val="32"/>
        </w:rPr>
        <w:t>编制日期：</w:t>
      </w:r>
      <w:r>
        <w:rPr>
          <w:rFonts w:hint="eastAsia" w:ascii="宋体" w:hAnsi="宋体" w:eastAsia="宋体" w:cs="宋体"/>
          <w:color w:val="auto"/>
          <w:spacing w:val="0"/>
          <w:position w:val="0"/>
          <w:sz w:val="32"/>
          <w:u w:val="single"/>
          <w:shd w:val="clear" w:color="auto" w:fill="auto"/>
        </w:rPr>
        <w:t>2025</w:t>
      </w:r>
      <w:r>
        <w:rPr>
          <w:rFonts w:hint="eastAsia" w:ascii="宋体" w:hAnsi="宋体" w:eastAsia="宋体" w:cs="宋体"/>
          <w:b/>
          <w:color w:val="auto"/>
          <w:sz w:val="32"/>
        </w:rPr>
        <w:t>年</w:t>
      </w:r>
      <w:r>
        <w:rPr>
          <w:rFonts w:hint="eastAsia" w:ascii="宋体" w:hAnsi="宋体" w:eastAsia="宋体" w:cs="宋体"/>
          <w:color w:val="auto"/>
          <w:spacing w:val="0"/>
          <w:position w:val="0"/>
          <w:sz w:val="32"/>
          <w:u w:val="single"/>
          <w:shd w:val="clear" w:color="auto" w:fill="auto"/>
        </w:rPr>
        <w:t>05</w:t>
      </w:r>
      <w:r>
        <w:rPr>
          <w:rFonts w:hint="eastAsia" w:ascii="宋体" w:hAnsi="宋体" w:eastAsia="宋体" w:cs="宋体"/>
          <w:b/>
          <w:color w:val="auto"/>
          <w:sz w:val="32"/>
        </w:rPr>
        <w:t>月</w:t>
      </w:r>
      <w:r>
        <w:rPr>
          <w:rFonts w:hint="eastAsia" w:ascii="宋体" w:hAnsi="宋体" w:eastAsia="宋体" w:cs="宋体"/>
          <w:color w:val="auto"/>
          <w:spacing w:val="0"/>
          <w:position w:val="0"/>
          <w:sz w:val="32"/>
          <w:u w:val="single"/>
          <w:shd w:val="clear" w:color="auto" w:fill="auto"/>
        </w:rPr>
        <w:t>1</w:t>
      </w:r>
      <w:r>
        <w:rPr>
          <w:rFonts w:hint="eastAsia" w:ascii="宋体" w:hAnsi="宋体" w:cs="宋体"/>
          <w:color w:val="auto"/>
          <w:spacing w:val="0"/>
          <w:position w:val="0"/>
          <w:sz w:val="32"/>
          <w:u w:val="single"/>
          <w:shd w:val="clear" w:color="auto" w:fill="auto"/>
          <w:lang w:val="en-US" w:eastAsia="zh-CN"/>
        </w:rPr>
        <w:t>5</w:t>
      </w:r>
      <w:r>
        <w:rPr>
          <w:rFonts w:hint="eastAsia" w:ascii="宋体" w:hAnsi="宋体" w:eastAsia="宋体" w:cs="宋体"/>
          <w:b/>
          <w:color w:val="auto"/>
          <w:sz w:val="32"/>
        </w:rPr>
        <w:t>日</w:t>
      </w:r>
    </w:p>
    <w:p w14:paraId="44557BD7">
      <w:pPr>
        <w:keepNext w:val="0"/>
        <w:keepLines w:val="0"/>
        <w:pageBreakBefore w:val="0"/>
        <w:kinsoku/>
        <w:topLinePunct w:val="0"/>
        <w:bidi w:val="0"/>
        <w:snapToGrid w:val="0"/>
        <w:spacing w:after="0" w:line="560" w:lineRule="exact"/>
        <w:ind w:firstLine="1205" w:firstLineChars="400"/>
        <w:textAlignment w:val="auto"/>
        <w:rPr>
          <w:rFonts w:hint="eastAsia" w:ascii="宋体" w:hAnsi="宋体" w:eastAsia="宋体" w:cs="宋体"/>
          <w:b/>
          <w:color w:val="auto"/>
          <w:sz w:val="30"/>
          <w:szCs w:val="30"/>
        </w:rPr>
      </w:pPr>
    </w:p>
    <w:p w14:paraId="0110D2D3">
      <w:pPr>
        <w:keepNext w:val="0"/>
        <w:keepLines w:val="0"/>
        <w:pageBreakBefore w:val="0"/>
        <w:kinsoku/>
        <w:topLinePunct w:val="0"/>
        <w:bidi w:val="0"/>
        <w:snapToGrid w:val="0"/>
        <w:spacing w:after="0" w:line="560" w:lineRule="exact"/>
        <w:ind w:firstLine="1205" w:firstLineChars="400"/>
        <w:textAlignment w:val="auto"/>
        <w:rPr>
          <w:rFonts w:hint="eastAsia" w:ascii="宋体" w:hAnsi="宋体" w:eastAsia="宋体" w:cs="宋体"/>
          <w:b/>
          <w:color w:val="auto"/>
          <w:sz w:val="30"/>
          <w:szCs w:val="30"/>
        </w:rPr>
      </w:pPr>
    </w:p>
    <w:p w14:paraId="14F6A651">
      <w:pPr>
        <w:keepNext w:val="0"/>
        <w:keepLines w:val="0"/>
        <w:pageBreakBefore w:val="0"/>
        <w:kinsoku/>
        <w:topLinePunct w:val="0"/>
        <w:bidi w:val="0"/>
        <w:snapToGrid w:val="0"/>
        <w:spacing w:after="0" w:line="560" w:lineRule="exact"/>
        <w:textAlignment w:val="auto"/>
        <w:rPr>
          <w:rFonts w:hint="eastAsia" w:ascii="宋体" w:hAnsi="宋体" w:eastAsia="宋体" w:cs="宋体"/>
          <w:b/>
          <w:color w:val="auto"/>
          <w:sz w:val="30"/>
          <w:szCs w:val="30"/>
        </w:rPr>
      </w:pPr>
    </w:p>
    <w:p w14:paraId="73F5AC62">
      <w:pPr>
        <w:keepNext w:val="0"/>
        <w:keepLines w:val="0"/>
        <w:pageBreakBefore w:val="0"/>
        <w:kinsoku/>
        <w:topLinePunct w:val="0"/>
        <w:bidi w:val="0"/>
        <w:snapToGrid w:val="0"/>
        <w:spacing w:after="0" w:line="560" w:lineRule="exact"/>
        <w:jc w:val="center"/>
        <w:textAlignment w:val="auto"/>
        <w:rPr>
          <w:rFonts w:hint="eastAsia" w:ascii="宋体" w:hAnsi="宋体" w:eastAsia="宋体" w:cs="宋体"/>
          <w:b/>
          <w:color w:val="auto"/>
          <w:sz w:val="32"/>
        </w:rPr>
      </w:pPr>
      <w:r>
        <w:rPr>
          <w:rFonts w:hint="eastAsia" w:ascii="宋体" w:hAnsi="宋体" w:eastAsia="宋体" w:cs="宋体"/>
          <w:b/>
          <w:color w:val="auto"/>
          <w:sz w:val="32"/>
        </w:rPr>
        <w:t>交易服务机构：</w:t>
      </w:r>
      <w:r>
        <w:rPr>
          <w:rFonts w:hint="eastAsia" w:ascii="宋体" w:hAnsi="宋体" w:eastAsia="宋体" w:cs="宋体"/>
          <w:b w:val="0"/>
          <w:bCs/>
          <w:color w:val="auto"/>
          <w:sz w:val="32"/>
          <w:u w:val="single"/>
        </w:rPr>
        <w:t>广州市天河区农村集体资产交易中心</w:t>
      </w:r>
    </w:p>
    <w:p w14:paraId="30030B2F">
      <w:pPr>
        <w:pStyle w:val="12"/>
        <w:keepNext w:val="0"/>
        <w:keepLines w:val="0"/>
        <w:pageBreakBefore w:val="0"/>
        <w:kinsoku/>
        <w:topLinePunct w:val="0"/>
        <w:bidi w:val="0"/>
        <w:spacing w:beforeLines="0" w:after="0" w:afterLines="0" w:line="560" w:lineRule="exact"/>
        <w:ind w:left="0" w:leftChars="0" w:right="0" w:rightChars="0"/>
        <w:textAlignment w:val="auto"/>
        <w:rPr>
          <w:rFonts w:hint="eastAsia" w:ascii="宋体" w:hAnsi="宋体" w:eastAsia="仿宋" w:cs="宋体"/>
          <w:bCs/>
          <w:snapToGrid/>
          <w:color w:val="auto"/>
          <w:spacing w:val="0"/>
          <w:kern w:val="2"/>
          <w:sz w:val="32"/>
        </w:rPr>
      </w:pPr>
    </w:p>
    <w:p w14:paraId="1F4EC9FD">
      <w:pPr>
        <w:pStyle w:val="12"/>
        <w:keepNext w:val="0"/>
        <w:keepLines w:val="0"/>
        <w:pageBreakBefore w:val="0"/>
        <w:kinsoku/>
        <w:topLinePunct w:val="0"/>
        <w:bidi w:val="0"/>
        <w:spacing w:beforeLines="0" w:after="0" w:afterLines="0" w:line="560" w:lineRule="exact"/>
        <w:ind w:left="0" w:leftChars="0" w:right="0" w:rightChars="0"/>
        <w:jc w:val="both"/>
        <w:textAlignment w:val="auto"/>
        <w:rPr>
          <w:rFonts w:hint="eastAsia" w:ascii="宋体" w:hAnsi="宋体" w:eastAsia="仿宋" w:cs="宋体"/>
          <w:bCs/>
          <w:snapToGrid/>
          <w:color w:val="auto"/>
          <w:spacing w:val="0"/>
          <w:kern w:val="2"/>
          <w:sz w:val="32"/>
        </w:rPr>
      </w:pPr>
    </w:p>
    <w:p w14:paraId="382E361F">
      <w:pPr>
        <w:pStyle w:val="12"/>
        <w:keepNext w:val="0"/>
        <w:keepLines w:val="0"/>
        <w:pageBreakBefore w:val="0"/>
        <w:kinsoku/>
        <w:topLinePunct w:val="0"/>
        <w:bidi w:val="0"/>
        <w:spacing w:beforeLines="0" w:after="0" w:afterLines="0" w:line="560" w:lineRule="exact"/>
        <w:ind w:left="0" w:leftChars="0" w:right="0" w:rightChars="0"/>
        <w:textAlignment w:val="auto"/>
        <w:rPr>
          <w:rFonts w:hint="eastAsia" w:ascii="宋体" w:hAnsi="宋体" w:eastAsia="宋体" w:cs="宋体"/>
          <w:bCs/>
          <w:snapToGrid/>
          <w:color w:val="auto"/>
          <w:spacing w:val="0"/>
          <w:kern w:val="2"/>
          <w:sz w:val="32"/>
        </w:rPr>
        <w:sectPr>
          <w:headerReference r:id="rId5" w:type="default"/>
          <w:footerReference r:id="rId6" w:type="default"/>
          <w:footerReference r:id="rId7" w:type="even"/>
          <w:pgSz w:w="11906" w:h="16838"/>
          <w:pgMar w:top="1304" w:right="1304" w:bottom="1247" w:left="1304" w:header="851" w:footer="907" w:gutter="0"/>
          <w:pgNumType w:fmt="decimal" w:start="1"/>
          <w:cols w:space="720" w:num="1"/>
          <w:titlePg/>
          <w:docGrid w:linePitch="312" w:charSpace="0"/>
        </w:sectPr>
      </w:pPr>
    </w:p>
    <w:p w14:paraId="30E65CB4">
      <w:pPr>
        <w:pStyle w:val="12"/>
        <w:keepNext w:val="0"/>
        <w:keepLines w:val="0"/>
        <w:pageBreakBefore w:val="0"/>
        <w:kinsoku/>
        <w:topLinePunct w:val="0"/>
        <w:bidi w:val="0"/>
        <w:spacing w:beforeLines="0" w:after="0" w:afterLines="0" w:line="560" w:lineRule="exact"/>
        <w:ind w:left="0" w:leftChars="0" w:right="0" w:rightChars="0"/>
        <w:textAlignment w:val="auto"/>
        <w:rPr>
          <w:rFonts w:hint="eastAsia" w:ascii="宋体" w:hAnsi="宋体" w:eastAsia="宋体" w:cs="宋体"/>
          <w:color w:val="auto"/>
          <w:sz w:val="32"/>
        </w:rPr>
      </w:pPr>
      <w:r>
        <w:rPr>
          <w:rFonts w:hint="eastAsia" w:ascii="宋体" w:hAnsi="宋体" w:eastAsia="宋体" w:cs="宋体"/>
          <w:bCs/>
          <w:snapToGrid/>
          <w:color w:val="auto"/>
          <w:spacing w:val="0"/>
          <w:kern w:val="2"/>
          <w:sz w:val="32"/>
        </w:rPr>
        <w:t>第一部分  竞投邀请函</w:t>
      </w:r>
    </w:p>
    <w:p w14:paraId="3F67FBEB">
      <w:pPr>
        <w:keepNext w:val="0"/>
        <w:keepLines w:val="0"/>
        <w:pageBreakBefore w:val="0"/>
        <w:kinsoku/>
        <w:topLinePunct w:val="0"/>
        <w:bidi w:val="0"/>
        <w:spacing w:after="0" w:line="56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各（潜在）竞投人:</w:t>
      </w:r>
    </w:p>
    <w:p w14:paraId="6ECA5BF3">
      <w:pPr>
        <w:keepNext w:val="0"/>
        <w:keepLines w:val="0"/>
        <w:pageBreakBefore w:val="0"/>
        <w:kinsoku/>
        <w:overflowPunct w:val="0"/>
        <w:topLinePunct w:val="0"/>
        <w:autoSpaceDE w:val="0"/>
        <w:bidi w:val="0"/>
        <w:spacing w:after="0" w:line="560" w:lineRule="exact"/>
        <w:ind w:firstLine="480" w:firstLineChars="200"/>
        <w:jc w:val="left"/>
        <w:textAlignment w:val="auto"/>
        <w:rPr>
          <w:rFonts w:hint="eastAsia" w:ascii="仿宋" w:hAnsi="仿宋" w:eastAsia="仿宋" w:cs="仿宋"/>
          <w:color w:val="auto"/>
          <w:sz w:val="24"/>
          <w:u w:val="single"/>
        </w:rPr>
      </w:pPr>
      <w:r>
        <w:rPr>
          <w:rFonts w:ascii="仿宋" w:hAnsi="仿宋" w:eastAsia="仿宋" w:cs="仿宋"/>
          <w:color w:val="auto"/>
          <w:spacing w:val="0"/>
          <w:position w:val="0"/>
          <w:sz w:val="24"/>
          <w:u w:val="single"/>
          <w:shd w:val="clear" w:color="auto" w:fill="auto"/>
        </w:rPr>
        <w:t>广州市天河区石牌三骏企业集团有限公</w:t>
      </w:r>
      <w:r>
        <w:rPr>
          <w:rFonts w:hint="eastAsia" w:ascii="仿宋" w:hAnsi="仿宋" w:eastAsia="仿宋" w:cs="仿宋"/>
          <w:color w:val="auto"/>
          <w:spacing w:val="0"/>
          <w:position w:val="0"/>
          <w:sz w:val="24"/>
          <w:u w:val="single"/>
          <w:shd w:val="clear" w:color="auto" w:fill="auto"/>
        </w:rPr>
        <w:t>司</w:t>
      </w:r>
      <w:r>
        <w:rPr>
          <w:rFonts w:hint="eastAsia" w:ascii="仿宋" w:hAnsi="仿宋" w:eastAsia="仿宋" w:cs="仿宋"/>
          <w:color w:val="auto"/>
          <w:sz w:val="24"/>
        </w:rPr>
        <w:t>的</w:t>
      </w:r>
      <w:r>
        <w:rPr>
          <w:rFonts w:hint="eastAsia" w:ascii="仿宋" w:hAnsi="仿宋" w:eastAsia="仿宋" w:cs="仿宋"/>
          <w:color w:val="000000"/>
          <w:spacing w:val="0"/>
          <w:position w:val="0"/>
          <w:sz w:val="24"/>
          <w:u w:val="single"/>
          <w:shd w:val="clear" w:color="auto" w:fill="auto"/>
        </w:rPr>
        <w:t>天河区石牌东路87、89、91、93、95、97号 市场综合楼</w:t>
      </w:r>
      <w:r>
        <w:rPr>
          <w:rFonts w:hint="eastAsia" w:ascii="仿宋" w:hAnsi="仿宋" w:eastAsia="仿宋" w:cs="仿宋"/>
          <w:color w:val="000000"/>
          <w:spacing w:val="0"/>
          <w:position w:val="0"/>
          <w:sz w:val="24"/>
          <w:u w:val="single"/>
          <w:shd w:val="clear" w:color="auto" w:fill="auto"/>
          <w:lang w:val="en-US" w:eastAsia="zh-CN"/>
        </w:rPr>
        <w:t>首层档位</w:t>
      </w:r>
      <w:r>
        <w:rPr>
          <w:rFonts w:hint="eastAsia" w:ascii="仿宋" w:hAnsi="仿宋" w:eastAsia="仿宋" w:cs="仿宋"/>
          <w:color w:val="000000"/>
          <w:spacing w:val="0"/>
          <w:position w:val="0"/>
          <w:sz w:val="24"/>
          <w:u w:val="single"/>
          <w:shd w:val="clear" w:color="auto" w:fill="auto"/>
        </w:rPr>
        <w:t>（</w:t>
      </w:r>
      <w:r>
        <w:rPr>
          <w:rFonts w:hint="eastAsia" w:ascii="仿宋" w:hAnsi="仿宋" w:eastAsia="仿宋" w:cs="仿宋"/>
          <w:kern w:val="0"/>
          <w:sz w:val="24"/>
          <w:szCs w:val="32"/>
          <w:u w:val="single"/>
        </w:rPr>
        <w:t>共50个项目</w:t>
      </w:r>
      <w:r>
        <w:rPr>
          <w:rFonts w:hint="eastAsia" w:ascii="仿宋" w:hAnsi="仿宋" w:eastAsia="仿宋" w:cs="仿宋"/>
          <w:color w:val="000000"/>
          <w:spacing w:val="0"/>
          <w:position w:val="0"/>
          <w:sz w:val="24"/>
          <w:u w:val="single"/>
          <w:shd w:val="clear" w:color="auto" w:fill="auto"/>
        </w:rPr>
        <w:t>）出租</w:t>
      </w:r>
      <w:r>
        <w:rPr>
          <w:rFonts w:hint="eastAsia" w:ascii="仿宋" w:hAnsi="仿宋" w:eastAsia="仿宋" w:cs="仿宋"/>
          <w:color w:val="auto"/>
          <w:sz w:val="24"/>
        </w:rPr>
        <w:t>项目（项目编号：</w:t>
      </w:r>
      <w:r>
        <w:rPr>
          <w:rFonts w:hint="eastAsia" w:ascii="仿宋" w:hAnsi="仿宋" w:eastAsia="仿宋" w:cs="仿宋"/>
          <w:color w:val="000000"/>
          <w:spacing w:val="0"/>
          <w:position w:val="0"/>
          <w:sz w:val="24"/>
          <w:u w:val="single"/>
          <w:shd w:val="clear" w:color="auto" w:fill="auto"/>
        </w:rPr>
        <w:t>石牌经济联社交﹝2025﹞</w:t>
      </w:r>
      <w:r>
        <w:rPr>
          <w:rFonts w:hint="eastAsia" w:ascii="仿宋" w:hAnsi="仿宋" w:eastAsia="仿宋" w:cs="仿宋"/>
          <w:sz w:val="24"/>
          <w:u w:val="single"/>
        </w:rPr>
        <w:t>0068-0077、0079-0089、0093、0097-0108、0111-0118、0120-0126、0128号</w:t>
      </w:r>
      <w:r>
        <w:rPr>
          <w:rFonts w:hint="eastAsia" w:ascii="仿宋" w:hAnsi="仿宋" w:eastAsia="仿宋" w:cs="仿宋"/>
          <w:color w:val="auto"/>
          <w:sz w:val="24"/>
        </w:rPr>
        <w:t>）</w:t>
      </w:r>
      <w:r>
        <w:rPr>
          <w:rFonts w:hint="eastAsia" w:ascii="仿宋" w:hAnsi="仿宋" w:eastAsia="仿宋" w:cs="仿宋"/>
          <w:color w:val="auto"/>
          <w:sz w:val="24"/>
          <w:lang w:val="en-US" w:eastAsia="zh-CN"/>
        </w:rPr>
        <w:t>在广州市天河区农村集体资产管理平台</w:t>
      </w:r>
      <w:r>
        <w:rPr>
          <w:rFonts w:hint="eastAsia" w:ascii="仿宋" w:hAnsi="仿宋" w:eastAsia="仿宋" w:cs="仿宋"/>
          <w:color w:val="auto"/>
          <w:sz w:val="24"/>
        </w:rPr>
        <w:t>进行</w:t>
      </w:r>
      <w:r>
        <w:rPr>
          <w:rFonts w:hint="eastAsia" w:ascii="仿宋" w:hAnsi="仿宋" w:eastAsia="仿宋" w:cs="仿宋"/>
          <w:b/>
          <w:bCs/>
          <w:color w:val="auto"/>
          <w:sz w:val="24"/>
        </w:rPr>
        <w:t>网上竞投</w:t>
      </w:r>
      <w:r>
        <w:rPr>
          <w:rFonts w:hint="eastAsia" w:ascii="仿宋" w:hAnsi="仿宋" w:eastAsia="仿宋" w:cs="仿宋"/>
          <w:color w:val="auto"/>
          <w:sz w:val="24"/>
        </w:rPr>
        <w:t>，采用</w:t>
      </w:r>
      <w:r>
        <w:rPr>
          <w:rFonts w:hint="eastAsia" w:ascii="仿宋" w:hAnsi="仿宋" w:eastAsia="仿宋" w:cs="仿宋"/>
          <w:b/>
          <w:bCs/>
          <w:color w:val="auto"/>
          <w:sz w:val="24"/>
          <w:u w:val="single"/>
          <w:lang w:eastAsia="zh-CN"/>
        </w:rPr>
        <w:t>先竞先得</w:t>
      </w:r>
      <w:r>
        <w:rPr>
          <w:rFonts w:hint="eastAsia" w:ascii="仿宋" w:hAnsi="仿宋" w:eastAsia="仿宋" w:cs="仿宋"/>
          <w:color w:val="auto"/>
          <w:sz w:val="24"/>
        </w:rPr>
        <w:t>方式</w:t>
      </w:r>
      <w:r>
        <w:rPr>
          <w:rFonts w:hint="eastAsia" w:ascii="仿宋" w:hAnsi="仿宋" w:eastAsia="仿宋" w:cs="仿宋"/>
          <w:color w:val="auto"/>
          <w:sz w:val="24"/>
          <w:lang w:eastAsia="zh-CN"/>
        </w:rPr>
        <w:t>确定竞得人</w:t>
      </w:r>
      <w:r>
        <w:rPr>
          <w:rFonts w:hint="eastAsia" w:ascii="仿宋" w:hAnsi="仿宋" w:eastAsia="仿宋" w:cs="仿宋"/>
          <w:color w:val="auto"/>
          <w:sz w:val="24"/>
        </w:rPr>
        <w:t>，</w:t>
      </w:r>
      <w:r>
        <w:rPr>
          <w:rFonts w:hint="eastAsia" w:ascii="仿宋" w:hAnsi="仿宋" w:eastAsia="仿宋" w:cs="仿宋"/>
          <w:color w:val="auto"/>
          <w:sz w:val="24"/>
          <w:lang w:val="zh-CN"/>
        </w:rPr>
        <w:t>欢迎符合资格条件</w:t>
      </w:r>
      <w:r>
        <w:rPr>
          <w:rFonts w:hint="eastAsia" w:ascii="仿宋" w:hAnsi="仿宋" w:eastAsia="仿宋" w:cs="仿宋"/>
          <w:color w:val="auto"/>
          <w:sz w:val="24"/>
        </w:rPr>
        <w:t>的意向人参与竞投。</w:t>
      </w:r>
    </w:p>
    <w:p w14:paraId="2DFA302C">
      <w:pPr>
        <w:keepNext w:val="0"/>
        <w:keepLines w:val="0"/>
        <w:pageBreakBefore w:val="0"/>
        <w:kinsoku/>
        <w:topLinePunct w:val="0"/>
        <w:autoSpaceDE w:val="0"/>
        <w:autoSpaceDN w:val="0"/>
        <w:bidi w:val="0"/>
        <w:spacing w:after="0" w:line="560" w:lineRule="exact"/>
        <w:textAlignment w:val="auto"/>
        <w:rPr>
          <w:rFonts w:hint="eastAsia" w:ascii="仿宋" w:hAnsi="仿宋" w:eastAsia="仿宋" w:cs="仿宋"/>
          <w:b/>
          <w:color w:val="auto"/>
          <w:sz w:val="24"/>
        </w:rPr>
      </w:pPr>
      <w:r>
        <w:rPr>
          <w:rFonts w:hint="eastAsia" w:ascii="仿宋" w:hAnsi="仿宋" w:eastAsia="仿宋" w:cs="仿宋"/>
          <w:b/>
          <w:color w:val="auto"/>
          <w:sz w:val="24"/>
        </w:rPr>
        <w:t>一、项目内容：</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4170"/>
        <w:gridCol w:w="1309"/>
        <w:gridCol w:w="1300"/>
        <w:gridCol w:w="1490"/>
      </w:tblGrid>
      <w:tr w14:paraId="13F3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88" w:type="dxa"/>
            <w:noWrap w:val="0"/>
            <w:vAlign w:val="center"/>
          </w:tcPr>
          <w:p w14:paraId="35D90601">
            <w:pPr>
              <w:keepNext w:val="0"/>
              <w:keepLines w:val="0"/>
              <w:pageBreakBefore w:val="0"/>
              <w:kinsoku/>
              <w:topLinePunct w:val="0"/>
              <w:bidi w:val="0"/>
              <w:spacing w:after="0" w:line="560" w:lineRule="exact"/>
              <w:jc w:val="center"/>
              <w:textAlignment w:val="auto"/>
              <w:rPr>
                <w:rFonts w:hint="eastAsia" w:ascii="仿宋" w:hAnsi="仿宋" w:eastAsia="仿宋" w:cs="仿宋"/>
                <w:color w:val="auto"/>
                <w:szCs w:val="21"/>
              </w:rPr>
            </w:pPr>
            <w:r>
              <w:rPr>
                <w:rFonts w:hint="eastAsia" w:ascii="仿宋" w:hAnsi="仿宋" w:eastAsia="仿宋" w:cs="仿宋"/>
                <w:b/>
                <w:color w:val="auto"/>
                <w:sz w:val="24"/>
                <w:szCs w:val="24"/>
              </w:rPr>
              <w:t>序号</w:t>
            </w:r>
          </w:p>
        </w:tc>
        <w:tc>
          <w:tcPr>
            <w:tcW w:w="4170" w:type="dxa"/>
            <w:noWrap w:val="0"/>
            <w:vAlign w:val="center"/>
          </w:tcPr>
          <w:p w14:paraId="1C5ABAAA">
            <w:pPr>
              <w:keepNext w:val="0"/>
              <w:keepLines w:val="0"/>
              <w:pageBreakBefore w:val="0"/>
              <w:kinsoku/>
              <w:topLinePunct w:val="0"/>
              <w:bidi w:val="0"/>
              <w:spacing w:after="0" w:line="560" w:lineRule="exact"/>
              <w:jc w:val="center"/>
              <w:textAlignment w:val="auto"/>
              <w:rPr>
                <w:rFonts w:hint="eastAsia" w:ascii="仿宋" w:hAnsi="仿宋" w:eastAsia="仿宋" w:cs="仿宋"/>
                <w:color w:val="auto"/>
                <w:szCs w:val="21"/>
              </w:rPr>
            </w:pPr>
            <w:r>
              <w:rPr>
                <w:rFonts w:hint="eastAsia" w:ascii="仿宋" w:hAnsi="仿宋" w:eastAsia="仿宋" w:cs="仿宋"/>
                <w:b/>
                <w:color w:val="auto"/>
                <w:sz w:val="24"/>
                <w:szCs w:val="24"/>
              </w:rPr>
              <w:t>项目名称</w:t>
            </w:r>
          </w:p>
        </w:tc>
        <w:tc>
          <w:tcPr>
            <w:tcW w:w="1309" w:type="dxa"/>
            <w:noWrap w:val="0"/>
            <w:vAlign w:val="center"/>
          </w:tcPr>
          <w:p w14:paraId="6C4FB415">
            <w:pPr>
              <w:keepNext w:val="0"/>
              <w:keepLines w:val="0"/>
              <w:pageBreakBefore w:val="0"/>
              <w:kinsoku/>
              <w:topLinePunct w:val="0"/>
              <w:bidi w:val="0"/>
              <w:spacing w:after="0" w:line="560" w:lineRule="exact"/>
              <w:jc w:val="center"/>
              <w:textAlignment w:val="auto"/>
              <w:rPr>
                <w:rFonts w:hint="eastAsia" w:ascii="仿宋" w:hAnsi="仿宋" w:eastAsia="仿宋" w:cs="仿宋"/>
                <w:color w:val="auto"/>
                <w:szCs w:val="21"/>
              </w:rPr>
            </w:pPr>
            <w:r>
              <w:rPr>
                <w:rFonts w:hint="eastAsia" w:ascii="仿宋" w:hAnsi="仿宋" w:eastAsia="仿宋" w:cs="仿宋"/>
                <w:b/>
                <w:color w:val="auto"/>
                <w:sz w:val="24"/>
                <w:szCs w:val="24"/>
              </w:rPr>
              <w:t>合同期限</w:t>
            </w:r>
          </w:p>
        </w:tc>
        <w:tc>
          <w:tcPr>
            <w:tcW w:w="1300" w:type="dxa"/>
            <w:noWrap w:val="0"/>
            <w:vAlign w:val="center"/>
          </w:tcPr>
          <w:p w14:paraId="0907C364">
            <w:pPr>
              <w:keepNext w:val="0"/>
              <w:keepLines w:val="0"/>
              <w:pageBreakBefore w:val="0"/>
              <w:kinsoku/>
              <w:topLinePunct w:val="0"/>
              <w:bidi w:val="0"/>
              <w:spacing w:after="0" w:line="560" w:lineRule="exact"/>
              <w:jc w:val="center"/>
              <w:textAlignment w:val="auto"/>
              <w:rPr>
                <w:rFonts w:hint="eastAsia" w:ascii="仿宋" w:hAnsi="仿宋" w:eastAsia="仿宋" w:cs="仿宋"/>
                <w:color w:val="auto"/>
                <w:szCs w:val="21"/>
              </w:rPr>
            </w:pPr>
            <w:r>
              <w:rPr>
                <w:rFonts w:hint="eastAsia" w:ascii="仿宋" w:hAnsi="仿宋" w:eastAsia="仿宋" w:cs="仿宋"/>
                <w:b/>
                <w:color w:val="auto"/>
                <w:sz w:val="24"/>
                <w:szCs w:val="24"/>
              </w:rPr>
              <w:t>交易面积</w:t>
            </w:r>
          </w:p>
        </w:tc>
        <w:tc>
          <w:tcPr>
            <w:tcW w:w="1490" w:type="dxa"/>
            <w:noWrap w:val="0"/>
            <w:vAlign w:val="center"/>
          </w:tcPr>
          <w:p w14:paraId="34AAD750">
            <w:pPr>
              <w:keepNext w:val="0"/>
              <w:keepLines w:val="0"/>
              <w:pageBreakBefore w:val="0"/>
              <w:kinsoku/>
              <w:topLinePunct w:val="0"/>
              <w:bidi w:val="0"/>
              <w:spacing w:after="0" w:line="560" w:lineRule="exact"/>
              <w:jc w:val="center"/>
              <w:textAlignment w:val="auto"/>
              <w:rPr>
                <w:rFonts w:hint="eastAsia" w:ascii="仿宋" w:hAnsi="仿宋" w:eastAsia="仿宋" w:cs="仿宋"/>
                <w:color w:val="auto"/>
                <w:szCs w:val="21"/>
              </w:rPr>
            </w:pPr>
            <w:r>
              <w:rPr>
                <w:rFonts w:hint="eastAsia" w:ascii="仿宋" w:hAnsi="仿宋" w:eastAsia="仿宋" w:cs="仿宋"/>
                <w:b/>
                <w:color w:val="auto"/>
                <w:sz w:val="24"/>
                <w:szCs w:val="24"/>
              </w:rPr>
              <w:t>交易底价</w:t>
            </w:r>
          </w:p>
        </w:tc>
      </w:tr>
      <w:tr w14:paraId="53E72026">
        <w:tblPrEx>
          <w:tblBorders>
            <w:top w:val="single" w:color="000000" w:sz="0" w:space="0"/>
            <w:left w:val="single" w:color="000000" w:sz="0" w:space="0"/>
            <w:bottom w:val="single" w:color="auto"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673" w:hRule="atLeast"/>
          <w:jc w:val="center"/>
        </w:trPr>
        <w:tc>
          <w:tcPr>
            <w:vAlign w:val="center"/>
          </w:tcPr>
          <w:p w14:paraId="2BE6E3E5">
            <w:pPr>
              <w:keepNext w:val="0"/>
              <w:keepLines w:val="0"/>
              <w:pageBreakBefore w:val="0"/>
              <w:kinsoku/>
              <w:topLinePunct w:val="0"/>
              <w:bidi w:val="0"/>
              <w:spacing w:after="0" w:line="560" w:lineRule="exact"/>
              <w:jc w:val="center"/>
              <w:textAlignment w:val="auto"/>
            </w:pPr>
            <w:r>
              <w:rPr>
                <w:rFonts w:ascii="仿宋" w:hAnsi="仿宋" w:eastAsia="仿宋" w:cs="仿宋"/>
                <w:sz w:val="24"/>
              </w:rPr>
              <w:t>1</w:t>
            </w:r>
          </w:p>
        </w:tc>
        <w:tc>
          <w:tcPr>
            <w:vAlign w:val="center"/>
          </w:tcPr>
          <w:p w14:paraId="0E7A2209">
            <w:pPr>
              <w:keepNext w:val="0"/>
              <w:keepLines w:val="0"/>
              <w:pageBreakBefore w:val="0"/>
              <w:kinsoku/>
              <w:topLinePunct w:val="0"/>
              <w:bidi w:val="0"/>
              <w:spacing w:after="0" w:line="560" w:lineRule="exact"/>
              <w:jc w:val="left"/>
              <w:textAlignment w:val="auto"/>
            </w:pPr>
            <w:r>
              <w:rPr>
                <w:rFonts w:ascii="仿宋" w:hAnsi="仿宋" w:eastAsia="仿宋" w:cs="仿宋"/>
                <w:sz w:val="24"/>
              </w:rPr>
              <w:t>天河区石牌东路87、89、91、93、95、97号 市场综合楼（</w:t>
            </w:r>
            <w:r>
              <w:rPr>
                <w:rFonts w:hint="eastAsia" w:ascii="仿宋" w:hAnsi="仿宋" w:eastAsia="仿宋" w:cs="仿宋"/>
                <w:kern w:val="0"/>
                <w:sz w:val="24"/>
                <w:szCs w:val="32"/>
                <w:u w:val="single"/>
              </w:rPr>
              <w:t>共50个项目</w:t>
            </w:r>
            <w:r>
              <w:rPr>
                <w:rFonts w:ascii="仿宋" w:hAnsi="仿宋" w:eastAsia="仿宋" w:cs="仿宋"/>
                <w:sz w:val="24"/>
              </w:rPr>
              <w:t>）出租</w:t>
            </w:r>
          </w:p>
        </w:tc>
        <w:tc>
          <w:tcPr>
            <w:tcW w:w="1309" w:type="dxa"/>
            <w:vAlign w:val="center"/>
          </w:tcPr>
          <w:p w14:paraId="3E0DE07A">
            <w:pPr>
              <w:keepNext w:val="0"/>
              <w:keepLines w:val="0"/>
              <w:pageBreakBefore w:val="0"/>
              <w:kinsoku/>
              <w:topLinePunct w:val="0"/>
              <w:bidi w:val="0"/>
              <w:spacing w:after="0" w:line="560" w:lineRule="exact"/>
              <w:jc w:val="left"/>
              <w:textAlignment w:val="auto"/>
              <w:rPr>
                <w:rFonts w:hint="default" w:eastAsia="宋体"/>
                <w:lang w:val="en-US" w:eastAsia="zh-CN"/>
              </w:rPr>
            </w:pPr>
            <w:r>
              <w:rPr>
                <w:rFonts w:hint="eastAsia" w:ascii="仿宋" w:hAnsi="仿宋" w:eastAsia="仿宋" w:cs="仿宋"/>
                <w:sz w:val="20"/>
                <w:szCs w:val="18"/>
                <w:lang w:val="en-US" w:eastAsia="zh-CN"/>
              </w:rPr>
              <w:t>合同签订之日至2025年12月31日</w:t>
            </w:r>
          </w:p>
        </w:tc>
        <w:tc>
          <w:tcPr>
            <w:tcW w:w="1300" w:type="dxa"/>
            <w:vAlign w:val="center"/>
          </w:tcPr>
          <w:p w14:paraId="716D0BA4">
            <w:pPr>
              <w:keepNext w:val="0"/>
              <w:keepLines w:val="0"/>
              <w:pageBreakBefore w:val="0"/>
              <w:kinsoku/>
              <w:topLinePunct w:val="0"/>
              <w:bidi w:val="0"/>
              <w:spacing w:after="0" w:line="560" w:lineRule="exact"/>
              <w:jc w:val="center"/>
              <w:textAlignment w:val="auto"/>
              <w:rPr>
                <w:rFonts w:hint="eastAsia" w:ascii="仿宋" w:hAnsi="仿宋" w:eastAsia="仿宋" w:cs="仿宋"/>
              </w:rPr>
            </w:pPr>
            <w:r>
              <w:rPr>
                <w:rFonts w:hint="eastAsia" w:ascii="仿宋" w:hAnsi="仿宋" w:eastAsia="仿宋" w:cs="仿宋"/>
                <w:sz w:val="24"/>
              </w:rPr>
              <w:t>详见附表</w:t>
            </w:r>
          </w:p>
        </w:tc>
        <w:tc>
          <w:tcPr>
            <w:tcW w:w="1490" w:type="dxa"/>
            <w:vAlign w:val="center"/>
          </w:tcPr>
          <w:p w14:paraId="3F51DA19">
            <w:pPr>
              <w:keepNext w:val="0"/>
              <w:keepLines w:val="0"/>
              <w:pageBreakBefore w:val="0"/>
              <w:kinsoku/>
              <w:topLinePunct w:val="0"/>
              <w:bidi w:val="0"/>
              <w:spacing w:after="0" w:line="560" w:lineRule="exact"/>
              <w:jc w:val="center"/>
              <w:textAlignment w:val="auto"/>
              <w:rPr>
                <w:rFonts w:hint="eastAsia" w:ascii="仿宋" w:hAnsi="仿宋" w:eastAsia="仿宋" w:cs="仿宋"/>
              </w:rPr>
            </w:pPr>
            <w:r>
              <w:rPr>
                <w:rFonts w:hint="eastAsia" w:ascii="仿宋" w:hAnsi="仿宋" w:eastAsia="仿宋" w:cs="仿宋"/>
                <w:sz w:val="24"/>
              </w:rPr>
              <w:t>详见附表</w:t>
            </w:r>
          </w:p>
        </w:tc>
      </w:tr>
    </w:tbl>
    <w:p w14:paraId="09A7AD6C">
      <w:pPr>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firstLine="480" w:firstLineChars="200"/>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Cs/>
          <w:color w:val="auto"/>
          <w:sz w:val="24"/>
        </w:rPr>
        <w:t>（</w:t>
      </w:r>
      <w:r>
        <w:rPr>
          <w:rFonts w:hint="eastAsia" w:ascii="仿宋" w:hAnsi="仿宋" w:eastAsia="仿宋" w:cs="仿宋"/>
          <w:bCs/>
          <w:color w:val="auto"/>
          <w:sz w:val="24"/>
          <w:lang w:val="en-US" w:eastAsia="zh-CN"/>
        </w:rPr>
        <w:t>一</w:t>
      </w:r>
      <w:r>
        <w:rPr>
          <w:rFonts w:hint="eastAsia" w:ascii="仿宋" w:hAnsi="仿宋" w:eastAsia="仿宋" w:cs="仿宋"/>
          <w:bCs/>
          <w:color w:val="auto"/>
          <w:sz w:val="24"/>
        </w:rPr>
        <w:t>）</w:t>
      </w:r>
      <w:r>
        <w:rPr>
          <w:rFonts w:hint="eastAsia" w:ascii="仿宋" w:hAnsi="仿宋" w:eastAsia="仿宋" w:cs="仿宋"/>
          <w:color w:val="auto"/>
          <w:sz w:val="24"/>
        </w:rPr>
        <w:t>交易保证金：</w:t>
      </w:r>
      <w:r>
        <w:rPr>
          <w:rFonts w:hint="eastAsia" w:ascii="仿宋" w:hAnsi="仿宋" w:eastAsia="仿宋" w:cs="仿宋"/>
          <w:color w:val="auto"/>
          <w:sz w:val="24"/>
          <w:u w:val="single"/>
          <w:lang w:val="en-US" w:eastAsia="zh-CN"/>
        </w:rPr>
        <w:t xml:space="preserve">  </w:t>
      </w:r>
      <w:r>
        <w:rPr>
          <w:rFonts w:hint="eastAsia" w:ascii="仿宋" w:hAnsi="仿宋" w:eastAsia="仿宋" w:cs="仿宋"/>
          <w:sz w:val="24"/>
          <w:u w:val="single"/>
        </w:rPr>
        <w:t>详见附表</w:t>
      </w:r>
      <w:r>
        <w:rPr>
          <w:rFonts w:hint="eastAsia" w:ascii="仿宋" w:hAnsi="仿宋" w:eastAsia="仿宋" w:cs="仿宋"/>
          <w:sz w:val="24"/>
          <w:u w:val="single"/>
          <w:lang w:val="en-US" w:eastAsia="zh-CN"/>
        </w:rPr>
        <w:t xml:space="preserve">  </w:t>
      </w:r>
      <w:r>
        <w:rPr>
          <w:rFonts w:hint="eastAsia" w:ascii="仿宋" w:hAnsi="仿宋" w:eastAsia="仿宋" w:cs="仿宋"/>
          <w:color w:val="auto"/>
          <w:sz w:val="24"/>
        </w:rPr>
        <w:t>，竞投人请登录广州市天河区农村集体资产管理平台http://szjy.thnet.gov.cn/或</w:t>
      </w:r>
      <w:r>
        <w:rPr>
          <w:rFonts w:hint="eastAsia" w:ascii="仿宋" w:hAnsi="仿宋" w:eastAsia="仿宋" w:cs="仿宋"/>
          <w:color w:val="auto"/>
          <w:sz w:val="24"/>
          <w:lang w:eastAsia="zh-CN"/>
        </w:rPr>
        <w:t>关注</w:t>
      </w:r>
      <w:r>
        <w:rPr>
          <w:rFonts w:hint="eastAsia" w:ascii="仿宋" w:hAnsi="仿宋" w:eastAsia="仿宋" w:cs="仿宋"/>
          <w:color w:val="auto"/>
          <w:sz w:val="24"/>
        </w:rPr>
        <w:t>“天河农村集体资产交易”微信公众号，点击【网上竞投】模块→选择意向项目报名→获取交易保证金账号，在报名结束前确保交易保证金</w:t>
      </w:r>
      <w:r>
        <w:rPr>
          <w:rFonts w:hint="eastAsia" w:ascii="仿宋" w:hAnsi="仿宋" w:eastAsia="仿宋" w:cs="仿宋"/>
          <w:color w:val="auto"/>
          <w:sz w:val="24"/>
          <w:highlight w:val="none"/>
        </w:rPr>
        <w:t>一次性全额</w:t>
      </w:r>
      <w:r>
        <w:rPr>
          <w:rFonts w:hint="eastAsia" w:ascii="仿宋" w:hAnsi="仿宋" w:eastAsia="仿宋" w:cs="仿宋"/>
          <w:color w:val="auto"/>
          <w:sz w:val="24"/>
        </w:rPr>
        <w:t>到达指定账户，</w:t>
      </w:r>
      <w:r>
        <w:rPr>
          <w:rFonts w:hint="eastAsia" w:ascii="仿宋" w:hAnsi="仿宋" w:eastAsia="仿宋" w:cs="仿宋"/>
          <w:color w:val="auto"/>
          <w:sz w:val="24"/>
          <w:highlight w:val="none"/>
        </w:rPr>
        <w:t>交纳方式：</w:t>
      </w:r>
      <w:r>
        <w:rPr>
          <w:rFonts w:hint="eastAsia" w:ascii="仿宋" w:hAnsi="仿宋" w:eastAsia="仿宋" w:cs="仿宋"/>
          <w:b/>
          <w:bCs/>
          <w:color w:val="auto"/>
          <w:sz w:val="24"/>
          <w:highlight w:val="none"/>
        </w:rPr>
        <w:t>银行转账</w:t>
      </w:r>
      <w:r>
        <w:rPr>
          <w:rFonts w:hint="eastAsia" w:ascii="仿宋" w:hAnsi="仿宋" w:eastAsia="仿宋" w:cs="仿宋"/>
          <w:b w:val="0"/>
          <w:bCs w:val="0"/>
          <w:color w:val="auto"/>
          <w:sz w:val="24"/>
          <w:highlight w:val="none"/>
          <w:lang w:eastAsia="zh-CN"/>
        </w:rPr>
        <w:t>。</w:t>
      </w:r>
    </w:p>
    <w:p w14:paraId="69EEBA0F">
      <w:pPr>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firstLine="480" w:firstLineChars="200"/>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注：1、交易保证金仅限于通过银行的渠道进行转账，包括手机银行、网上银行、柜台转账等（拒收支付宝转账、微信转账、现金存款）；</w:t>
      </w:r>
    </w:p>
    <w:p w14:paraId="0AFD6D90">
      <w:pPr>
        <w:keepNext w:val="0"/>
        <w:keepLines w:val="0"/>
        <w:pageBreakBefore w:val="0"/>
        <w:kinsoku/>
        <w:topLinePunct w:val="0"/>
        <w:autoSpaceDE w:val="0"/>
        <w:autoSpaceDN w:val="0"/>
        <w:bidi w:val="0"/>
        <w:spacing w:after="0" w:line="560" w:lineRule="exact"/>
        <w:ind w:firstLine="480" w:firstLineChars="200"/>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2、一个项目对应一个银行收款账号；</w:t>
      </w:r>
    </w:p>
    <w:p w14:paraId="71C1DBA7">
      <w:pPr>
        <w:keepNext w:val="0"/>
        <w:keepLines w:val="0"/>
        <w:pageBreakBefore w:val="0"/>
        <w:kinsoku/>
        <w:topLinePunct w:val="0"/>
        <w:autoSpaceDE w:val="0"/>
        <w:autoSpaceDN w:val="0"/>
        <w:bidi w:val="0"/>
        <w:spacing w:after="0" w:line="560" w:lineRule="exact"/>
        <w:ind w:firstLine="480" w:firstLineChars="200"/>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3、报名的最后一天，为确保交易系统能及时获取银行系统的到账信息，建议竞投意向人提前完成交易保证金转账及网上报名。</w:t>
      </w:r>
    </w:p>
    <w:p w14:paraId="50DB2CA0">
      <w:pPr>
        <w:keepNext w:val="0"/>
        <w:keepLines w:val="0"/>
        <w:pageBreakBefore w:val="0"/>
        <w:kinsoku/>
        <w:topLinePunct w:val="0"/>
        <w:autoSpaceDE w:val="0"/>
        <w:autoSpaceDN w:val="0"/>
        <w:bidi w:val="0"/>
        <w:spacing w:after="0" w:line="560" w:lineRule="exact"/>
        <w:ind w:firstLine="240" w:firstLineChars="100"/>
        <w:textAlignment w:val="auto"/>
        <w:rPr>
          <w:rFonts w:hint="eastAsia" w:ascii="仿宋" w:hAnsi="仿宋" w:eastAsia="仿宋" w:cs="仿宋"/>
          <w:bCs/>
          <w:color w:val="auto"/>
          <w:sz w:val="24"/>
        </w:rPr>
      </w:pPr>
      <w:r>
        <w:rPr>
          <w:rFonts w:hint="eastAsia" w:ascii="仿宋" w:hAnsi="仿宋" w:eastAsia="仿宋" w:cs="仿宋"/>
          <w:bCs/>
          <w:color w:val="auto"/>
          <w:sz w:val="24"/>
        </w:rPr>
        <w:t>（</w:t>
      </w:r>
      <w:r>
        <w:rPr>
          <w:rFonts w:hint="eastAsia" w:ascii="仿宋" w:hAnsi="仿宋" w:eastAsia="仿宋" w:cs="仿宋"/>
          <w:bCs/>
          <w:color w:val="auto"/>
          <w:sz w:val="24"/>
          <w:lang w:val="en-US" w:eastAsia="zh-CN"/>
        </w:rPr>
        <w:t>二</w:t>
      </w:r>
      <w:r>
        <w:rPr>
          <w:rFonts w:hint="eastAsia" w:ascii="仿宋" w:hAnsi="仿宋" w:eastAsia="仿宋" w:cs="仿宋"/>
          <w:bCs/>
          <w:color w:val="auto"/>
          <w:sz w:val="24"/>
        </w:rPr>
        <w:t>）详情请查阅交易文件“第二部分 项目内容”。</w:t>
      </w:r>
    </w:p>
    <w:p w14:paraId="46B39481">
      <w:pPr>
        <w:keepNext w:val="0"/>
        <w:keepLines w:val="0"/>
        <w:pageBreakBefore w:val="0"/>
        <w:kinsoku/>
        <w:topLinePunct w:val="0"/>
        <w:autoSpaceDE w:val="0"/>
        <w:autoSpaceDN w:val="0"/>
        <w:bidi w:val="0"/>
        <w:spacing w:after="0" w:line="560" w:lineRule="exact"/>
        <w:textAlignment w:val="auto"/>
        <w:rPr>
          <w:rFonts w:hint="eastAsia" w:ascii="仿宋" w:hAnsi="仿宋" w:eastAsia="仿宋" w:cs="仿宋"/>
          <w:b/>
          <w:color w:val="auto"/>
          <w:sz w:val="24"/>
        </w:rPr>
      </w:pPr>
      <w:r>
        <w:rPr>
          <w:rFonts w:hint="eastAsia" w:ascii="仿宋" w:hAnsi="仿宋" w:eastAsia="仿宋" w:cs="仿宋"/>
          <w:b/>
          <w:color w:val="auto"/>
          <w:sz w:val="24"/>
        </w:rPr>
        <w:t>二、竞投人资</w:t>
      </w:r>
      <w:r>
        <w:rPr>
          <w:rFonts w:hint="eastAsia" w:ascii="仿宋" w:hAnsi="仿宋" w:eastAsia="仿宋" w:cs="仿宋"/>
          <w:b/>
          <w:color w:val="auto"/>
          <w:sz w:val="24"/>
          <w:lang w:eastAsia="zh-CN"/>
        </w:rPr>
        <w:t>格</w:t>
      </w:r>
      <w:r>
        <w:rPr>
          <w:rFonts w:hint="eastAsia" w:ascii="仿宋" w:hAnsi="仿宋" w:eastAsia="仿宋" w:cs="仿宋"/>
          <w:b/>
          <w:color w:val="auto"/>
          <w:sz w:val="24"/>
        </w:rPr>
        <w:t>要求：</w:t>
      </w:r>
    </w:p>
    <w:p w14:paraId="6DA5A3EB">
      <w:pPr>
        <w:keepNext w:val="0"/>
        <w:keepLines w:val="0"/>
        <w:pageBreakBefore w:val="0"/>
        <w:kinsoku/>
        <w:topLinePunct w:val="0"/>
        <w:bidi w:val="0"/>
        <w:spacing w:after="0" w:line="560" w:lineRule="exact"/>
        <w:ind w:firstLine="240" w:firstLineChars="100"/>
        <w:textAlignment w:val="auto"/>
        <w:rPr>
          <w:rFonts w:hint="eastAsia" w:ascii="仿宋" w:hAnsi="仿宋" w:eastAsia="仿宋" w:cs="仿宋"/>
          <w:color w:val="auto"/>
          <w:sz w:val="24"/>
        </w:rPr>
      </w:pPr>
      <w:r>
        <w:rPr>
          <w:rFonts w:hint="eastAsia" w:ascii="仿宋" w:hAnsi="仿宋" w:eastAsia="仿宋" w:cs="仿宋"/>
          <w:color w:val="auto"/>
          <w:sz w:val="24"/>
        </w:rPr>
        <w:t>（一）竞投人必须是在中华人民共和国境内注册并合法运作的法人</w:t>
      </w:r>
      <w:r>
        <w:rPr>
          <w:rFonts w:hint="eastAsia" w:ascii="仿宋" w:hAnsi="仿宋" w:eastAsia="仿宋" w:cs="仿宋"/>
          <w:color w:val="auto"/>
          <w:sz w:val="24"/>
          <w:lang w:eastAsia="zh-CN"/>
        </w:rPr>
        <w:t>单位</w:t>
      </w:r>
      <w:r>
        <w:rPr>
          <w:rFonts w:hint="eastAsia" w:ascii="仿宋" w:hAnsi="仿宋" w:eastAsia="仿宋" w:cs="仿宋"/>
          <w:color w:val="auto"/>
          <w:sz w:val="24"/>
        </w:rPr>
        <w:t>、</w:t>
      </w:r>
      <w:r>
        <w:rPr>
          <w:rFonts w:hint="eastAsia" w:ascii="仿宋" w:hAnsi="仿宋" w:eastAsia="仿宋" w:cs="仿宋"/>
          <w:color w:val="auto"/>
          <w:sz w:val="24"/>
          <w:lang w:eastAsia="zh-CN"/>
        </w:rPr>
        <w:t>非法人企业，</w:t>
      </w:r>
      <w:r>
        <w:rPr>
          <w:rFonts w:hint="eastAsia" w:ascii="仿宋" w:hAnsi="仿宋" w:eastAsia="仿宋" w:cs="仿宋"/>
          <w:color w:val="auto"/>
          <w:sz w:val="24"/>
        </w:rPr>
        <w:t>个体</w:t>
      </w:r>
      <w:r>
        <w:rPr>
          <w:rFonts w:hint="eastAsia" w:ascii="仿宋" w:hAnsi="仿宋" w:eastAsia="仿宋" w:cs="仿宋"/>
          <w:color w:val="auto"/>
          <w:sz w:val="24"/>
          <w:lang w:eastAsia="zh-CN"/>
        </w:rPr>
        <w:t>工商</w:t>
      </w:r>
      <w:r>
        <w:rPr>
          <w:rFonts w:hint="eastAsia" w:ascii="仿宋" w:hAnsi="仿宋" w:eastAsia="仿宋" w:cs="仿宋"/>
          <w:color w:val="auto"/>
          <w:sz w:val="24"/>
        </w:rPr>
        <w:t>户或具有完全民事行为能力的自然人，除法律法规另有规定外；</w:t>
      </w:r>
    </w:p>
    <w:p w14:paraId="431B0E16">
      <w:pPr>
        <w:keepNext w:val="0"/>
        <w:keepLines w:val="0"/>
        <w:pageBreakBefore w:val="0"/>
        <w:kinsoku/>
        <w:topLinePunct w:val="0"/>
        <w:bidi w:val="0"/>
        <w:spacing w:after="0" w:line="560" w:lineRule="exact"/>
        <w:ind w:firstLine="240" w:firstLineChars="100"/>
        <w:textAlignment w:val="auto"/>
        <w:rPr>
          <w:rFonts w:hint="eastAsia" w:ascii="仿宋" w:hAnsi="仿宋" w:eastAsia="仿宋" w:cs="仿宋"/>
          <w:color w:val="auto"/>
          <w:sz w:val="24"/>
        </w:rPr>
      </w:pPr>
      <w:r>
        <w:rPr>
          <w:rFonts w:hint="eastAsia" w:ascii="仿宋" w:hAnsi="仿宋" w:eastAsia="仿宋" w:cs="仿宋"/>
          <w:color w:val="auto"/>
          <w:sz w:val="24"/>
        </w:rPr>
        <w:t>（二）项目业主单位要求的其他资质条件：</w:t>
      </w:r>
      <w:r>
        <w:rPr>
          <w:rFonts w:ascii="仿宋" w:hAnsi="仿宋" w:eastAsia="仿宋" w:cs="仿宋"/>
          <w:color w:val="auto"/>
          <w:spacing w:val="0"/>
          <w:position w:val="0"/>
          <w:sz w:val="24"/>
          <w:u w:val="single"/>
          <w:shd w:val="clear" w:color="auto" w:fill="auto"/>
        </w:rPr>
        <w:t>无</w:t>
      </w:r>
      <w:r>
        <w:rPr>
          <w:rFonts w:hint="eastAsia" w:ascii="仿宋" w:hAnsi="仿宋" w:eastAsia="仿宋" w:cs="仿宋"/>
          <w:color w:val="auto"/>
          <w:sz w:val="24"/>
        </w:rPr>
        <w:t>。</w:t>
      </w:r>
    </w:p>
    <w:p w14:paraId="1B80E019">
      <w:pPr>
        <w:keepNext w:val="0"/>
        <w:keepLines w:val="0"/>
        <w:pageBreakBefore w:val="0"/>
        <w:kinsoku/>
        <w:topLinePunct w:val="0"/>
        <w:bidi w:val="0"/>
        <w:spacing w:after="0" w:line="560" w:lineRule="exact"/>
        <w:textAlignment w:val="auto"/>
        <w:rPr>
          <w:rFonts w:hint="eastAsia" w:ascii="仿宋" w:hAnsi="仿宋" w:eastAsia="仿宋" w:cs="仿宋"/>
          <w:b/>
          <w:color w:val="auto"/>
          <w:sz w:val="24"/>
        </w:rPr>
      </w:pPr>
      <w:r>
        <w:rPr>
          <w:rFonts w:hint="eastAsia" w:ascii="仿宋" w:hAnsi="仿宋" w:eastAsia="仿宋" w:cs="仿宋"/>
          <w:b/>
          <w:color w:val="auto"/>
          <w:sz w:val="24"/>
        </w:rPr>
        <w:t>三、报名、竞投网址及时间：</w:t>
      </w:r>
    </w:p>
    <w:p w14:paraId="6D0B8935">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firstLine="240" w:firstLineChars="100"/>
        <w:textAlignment w:val="auto"/>
        <w:rPr>
          <w:rFonts w:hint="eastAsia" w:ascii="仿宋" w:hAnsi="仿宋" w:eastAsia="仿宋" w:cs="仿宋"/>
          <w:color w:val="auto"/>
          <w:sz w:val="24"/>
        </w:rPr>
      </w:pPr>
      <w:r>
        <w:rPr>
          <w:rFonts w:hint="eastAsia" w:ascii="仿宋" w:hAnsi="仿宋" w:eastAsia="仿宋" w:cs="仿宋"/>
          <w:color w:val="auto"/>
          <w:sz w:val="24"/>
        </w:rPr>
        <w:t>报名、竞投网址：广州市天河区农村集体资产管理平台http://szjy.thnet.gov.cn/</w:t>
      </w:r>
      <w:r>
        <w:rPr>
          <w:rFonts w:hint="eastAsia" w:ascii="仿宋" w:hAnsi="仿宋" w:eastAsia="仿宋" w:cs="仿宋"/>
          <w:color w:val="auto"/>
          <w:sz w:val="24"/>
          <w:lang w:eastAsia="zh-CN"/>
        </w:rPr>
        <w:t>或</w:t>
      </w:r>
      <w:r>
        <w:rPr>
          <w:rFonts w:hint="eastAsia" w:ascii="仿宋" w:hAnsi="仿宋" w:eastAsia="仿宋" w:cs="仿宋"/>
          <w:color w:val="auto"/>
          <w:sz w:val="24"/>
        </w:rPr>
        <w:t>“天河农村集体资产交易”微信公众号的【网上竞投】模块</w:t>
      </w:r>
      <w:r>
        <w:rPr>
          <w:rFonts w:hint="eastAsia" w:ascii="仿宋" w:hAnsi="仿宋" w:eastAsia="仿宋" w:cs="仿宋"/>
          <w:b/>
          <w:bCs/>
          <w:color w:val="auto"/>
          <w:sz w:val="24"/>
          <w:lang w:eastAsia="zh-CN"/>
        </w:rPr>
        <w:t>（建议优先使用网页端）。</w:t>
      </w:r>
    </w:p>
    <w:p w14:paraId="58C26FFB">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firstLine="240" w:firstLineChars="100"/>
        <w:textAlignment w:val="auto"/>
        <w:rPr>
          <w:rFonts w:hint="eastAsia" w:ascii="仿宋" w:hAnsi="仿宋" w:eastAsia="仿宋" w:cs="仿宋"/>
          <w:color w:val="auto"/>
          <w:sz w:val="24"/>
          <w:u w:val="single"/>
        </w:rPr>
      </w:pPr>
      <w:r>
        <w:rPr>
          <w:rFonts w:hint="eastAsia" w:ascii="仿宋" w:hAnsi="仿宋" w:eastAsia="仿宋" w:cs="仿宋"/>
          <w:color w:val="auto"/>
          <w:sz w:val="24"/>
        </w:rPr>
        <w:t>报名时间：</w:t>
      </w:r>
      <w:r>
        <w:rPr>
          <w:rFonts w:ascii="仿宋" w:hAnsi="仿宋" w:eastAsia="仿宋" w:cs="仿宋"/>
          <w:color w:val="auto"/>
          <w:spacing w:val="0"/>
          <w:position w:val="0"/>
          <w:sz w:val="24"/>
          <w:u w:val="single"/>
          <w:shd w:val="clear" w:color="auto" w:fill="auto"/>
        </w:rPr>
        <w:t>2025-</w:t>
      </w:r>
      <w:r>
        <w:rPr>
          <w:rFonts w:hint="eastAsia" w:ascii="仿宋" w:hAnsi="仿宋" w:eastAsia="仿宋" w:cs="仿宋"/>
          <w:color w:val="auto"/>
          <w:spacing w:val="0"/>
          <w:position w:val="0"/>
          <w:sz w:val="24"/>
          <w:u w:val="single"/>
          <w:shd w:val="clear" w:color="auto" w:fill="auto"/>
          <w:lang w:val="en-US" w:eastAsia="zh-CN"/>
        </w:rPr>
        <w:t>6</w:t>
      </w:r>
      <w:r>
        <w:rPr>
          <w:rFonts w:ascii="仿宋" w:hAnsi="仿宋" w:eastAsia="仿宋" w:cs="仿宋"/>
          <w:color w:val="auto"/>
          <w:spacing w:val="0"/>
          <w:position w:val="0"/>
          <w:sz w:val="24"/>
          <w:u w:val="single"/>
          <w:shd w:val="clear" w:color="auto" w:fill="auto"/>
        </w:rPr>
        <w:t>-</w:t>
      </w:r>
      <w:r>
        <w:rPr>
          <w:rFonts w:hint="eastAsia" w:ascii="仿宋" w:hAnsi="仿宋" w:eastAsia="仿宋" w:cs="仿宋"/>
          <w:color w:val="auto"/>
          <w:spacing w:val="0"/>
          <w:position w:val="0"/>
          <w:sz w:val="24"/>
          <w:u w:val="single"/>
          <w:shd w:val="clear" w:color="auto" w:fill="auto"/>
          <w:lang w:val="en-US" w:eastAsia="zh-CN"/>
        </w:rPr>
        <w:t xml:space="preserve">11   </w:t>
      </w:r>
      <w:r>
        <w:rPr>
          <w:rFonts w:hint="eastAsia" w:ascii="仿宋" w:hAnsi="仿宋" w:eastAsia="仿宋" w:cs="仿宋"/>
          <w:color w:val="auto"/>
          <w:sz w:val="24"/>
        </w:rPr>
        <w:t>至</w:t>
      </w:r>
      <w:r>
        <w:rPr>
          <w:rFonts w:ascii="仿宋" w:hAnsi="仿宋" w:eastAsia="仿宋" w:cs="仿宋"/>
          <w:color w:val="auto"/>
          <w:spacing w:val="0"/>
          <w:position w:val="0"/>
          <w:sz w:val="24"/>
          <w:u w:val="single"/>
          <w:shd w:val="clear" w:color="auto" w:fill="auto"/>
        </w:rPr>
        <w:t>2025-</w:t>
      </w:r>
      <w:r>
        <w:rPr>
          <w:rFonts w:hint="eastAsia" w:ascii="仿宋" w:hAnsi="仿宋" w:eastAsia="仿宋" w:cs="仿宋"/>
          <w:color w:val="auto"/>
          <w:spacing w:val="0"/>
          <w:position w:val="0"/>
          <w:sz w:val="24"/>
          <w:u w:val="single"/>
          <w:shd w:val="clear" w:color="auto" w:fill="auto"/>
          <w:lang w:val="en-US" w:eastAsia="zh-CN"/>
        </w:rPr>
        <w:t>8</w:t>
      </w:r>
      <w:r>
        <w:rPr>
          <w:rFonts w:ascii="仿宋" w:hAnsi="仿宋" w:eastAsia="仿宋" w:cs="仿宋"/>
          <w:color w:val="auto"/>
          <w:spacing w:val="0"/>
          <w:position w:val="0"/>
          <w:sz w:val="24"/>
          <w:u w:val="single"/>
          <w:shd w:val="clear" w:color="auto" w:fill="auto"/>
        </w:rPr>
        <w:t>-</w:t>
      </w:r>
      <w:r>
        <w:rPr>
          <w:rFonts w:hint="eastAsia" w:ascii="仿宋" w:hAnsi="仿宋" w:eastAsia="仿宋" w:cs="仿宋"/>
          <w:color w:val="auto"/>
          <w:spacing w:val="0"/>
          <w:position w:val="0"/>
          <w:sz w:val="24"/>
          <w:u w:val="single"/>
          <w:shd w:val="clear" w:color="auto" w:fill="auto"/>
          <w:lang w:val="en-US" w:eastAsia="zh-CN"/>
        </w:rPr>
        <w:t xml:space="preserve">1    </w:t>
      </w:r>
      <w:r>
        <w:rPr>
          <w:rFonts w:hint="eastAsia" w:ascii="仿宋" w:hAnsi="仿宋" w:eastAsia="仿宋" w:cs="仿宋"/>
          <w:color w:val="auto"/>
          <w:sz w:val="24"/>
        </w:rPr>
        <w:t xml:space="preserve"> </w:t>
      </w:r>
    </w:p>
    <w:p w14:paraId="5450E086">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firstLine="241" w:firstLineChars="100"/>
        <w:textAlignment w:val="auto"/>
        <w:rPr>
          <w:rFonts w:hint="eastAsia" w:ascii="仿宋" w:hAnsi="仿宋" w:eastAsia="仿宋" w:cs="仿宋"/>
          <w:color w:val="auto"/>
          <w:sz w:val="24"/>
          <w:u w:val="single"/>
        </w:rPr>
      </w:pPr>
      <w:r>
        <w:rPr>
          <w:rFonts w:hint="eastAsia" w:ascii="仿宋" w:hAnsi="仿宋" w:eastAsia="仿宋" w:cs="仿宋"/>
          <w:b/>
          <w:bCs/>
          <w:color w:val="auto"/>
          <w:sz w:val="24"/>
          <w:lang w:eastAsia="zh-CN"/>
        </w:rPr>
        <w:t>报价确认</w:t>
      </w:r>
      <w:r>
        <w:rPr>
          <w:rFonts w:hint="eastAsia" w:ascii="仿宋" w:hAnsi="仿宋" w:eastAsia="仿宋" w:cs="仿宋"/>
          <w:b/>
          <w:bCs/>
          <w:color w:val="auto"/>
          <w:sz w:val="24"/>
        </w:rPr>
        <w:t>时间：</w:t>
      </w:r>
      <w:r>
        <w:rPr>
          <w:rFonts w:ascii="仿宋" w:hAnsi="仿宋" w:eastAsia="仿宋" w:cs="仿宋"/>
          <w:color w:val="auto"/>
          <w:spacing w:val="0"/>
          <w:position w:val="0"/>
          <w:sz w:val="24"/>
          <w:u w:val="single"/>
          <w:shd w:val="clear" w:color="auto" w:fill="auto"/>
        </w:rPr>
        <w:t>2025-</w:t>
      </w:r>
      <w:r>
        <w:rPr>
          <w:rFonts w:hint="eastAsia" w:ascii="仿宋" w:hAnsi="仿宋" w:eastAsia="仿宋" w:cs="仿宋"/>
          <w:color w:val="auto"/>
          <w:spacing w:val="0"/>
          <w:position w:val="0"/>
          <w:sz w:val="24"/>
          <w:u w:val="single"/>
          <w:shd w:val="clear" w:color="auto" w:fill="auto"/>
          <w:lang w:val="en-US" w:eastAsia="zh-CN"/>
        </w:rPr>
        <w:t>6</w:t>
      </w:r>
      <w:r>
        <w:rPr>
          <w:rFonts w:ascii="仿宋" w:hAnsi="仿宋" w:eastAsia="仿宋" w:cs="仿宋"/>
          <w:color w:val="auto"/>
          <w:spacing w:val="0"/>
          <w:position w:val="0"/>
          <w:sz w:val="24"/>
          <w:u w:val="single"/>
          <w:shd w:val="clear" w:color="auto" w:fill="auto"/>
        </w:rPr>
        <w:t>-</w:t>
      </w:r>
      <w:r>
        <w:rPr>
          <w:rFonts w:hint="eastAsia" w:ascii="仿宋" w:hAnsi="仿宋" w:eastAsia="仿宋" w:cs="仿宋"/>
          <w:color w:val="auto"/>
          <w:spacing w:val="0"/>
          <w:position w:val="0"/>
          <w:sz w:val="24"/>
          <w:u w:val="single"/>
          <w:shd w:val="clear" w:color="auto" w:fill="auto"/>
          <w:lang w:val="en-US" w:eastAsia="zh-CN"/>
        </w:rPr>
        <w:t xml:space="preserve">11    </w:t>
      </w:r>
      <w:r>
        <w:rPr>
          <w:rFonts w:hint="eastAsia" w:ascii="仿宋" w:hAnsi="仿宋" w:eastAsia="仿宋" w:cs="仿宋"/>
          <w:color w:val="auto"/>
          <w:sz w:val="24"/>
        </w:rPr>
        <w:t>至</w:t>
      </w:r>
      <w:r>
        <w:rPr>
          <w:rFonts w:ascii="仿宋" w:hAnsi="仿宋" w:eastAsia="仿宋" w:cs="仿宋"/>
          <w:color w:val="auto"/>
          <w:spacing w:val="0"/>
          <w:position w:val="0"/>
          <w:sz w:val="24"/>
          <w:u w:val="single"/>
          <w:shd w:val="clear" w:color="auto" w:fill="auto"/>
        </w:rPr>
        <w:t>2025-</w:t>
      </w:r>
      <w:r>
        <w:rPr>
          <w:rFonts w:hint="eastAsia" w:ascii="仿宋" w:hAnsi="仿宋" w:eastAsia="仿宋" w:cs="仿宋"/>
          <w:color w:val="auto"/>
          <w:spacing w:val="0"/>
          <w:position w:val="0"/>
          <w:sz w:val="24"/>
          <w:u w:val="single"/>
          <w:shd w:val="clear" w:color="auto" w:fill="auto"/>
          <w:lang w:val="en-US" w:eastAsia="zh-CN"/>
        </w:rPr>
        <w:t>8</w:t>
      </w:r>
      <w:r>
        <w:rPr>
          <w:rFonts w:ascii="仿宋" w:hAnsi="仿宋" w:eastAsia="仿宋" w:cs="仿宋"/>
          <w:color w:val="auto"/>
          <w:spacing w:val="0"/>
          <w:position w:val="0"/>
          <w:sz w:val="24"/>
          <w:u w:val="single"/>
          <w:shd w:val="clear" w:color="auto" w:fill="auto"/>
        </w:rPr>
        <w:t>-</w:t>
      </w:r>
      <w:r>
        <w:rPr>
          <w:rFonts w:hint="eastAsia" w:ascii="仿宋" w:hAnsi="仿宋" w:eastAsia="仿宋" w:cs="仿宋"/>
          <w:color w:val="auto"/>
          <w:spacing w:val="0"/>
          <w:position w:val="0"/>
          <w:sz w:val="24"/>
          <w:u w:val="single"/>
          <w:shd w:val="clear" w:color="auto" w:fill="auto"/>
          <w:lang w:val="en-US" w:eastAsia="zh-CN"/>
        </w:rPr>
        <w:t xml:space="preserve">1    </w:t>
      </w:r>
      <w:r>
        <w:rPr>
          <w:rFonts w:hint="eastAsia" w:ascii="仿宋" w:hAnsi="仿宋" w:eastAsia="仿宋" w:cs="仿宋"/>
          <w:color w:val="auto"/>
          <w:sz w:val="24"/>
        </w:rPr>
        <w:t xml:space="preserve"> </w:t>
      </w:r>
    </w:p>
    <w:p w14:paraId="274FCDCA">
      <w:pPr>
        <w:keepNext w:val="0"/>
        <w:keepLines w:val="0"/>
        <w:pageBreakBefore w:val="0"/>
        <w:kinsoku/>
        <w:topLinePunct w:val="0"/>
        <w:bidi w:val="0"/>
        <w:spacing w:after="0" w:line="560" w:lineRule="exact"/>
        <w:textAlignment w:val="auto"/>
        <w:rPr>
          <w:rFonts w:hint="eastAsia" w:ascii="仿宋" w:hAnsi="仿宋" w:eastAsia="仿宋" w:cs="仿宋"/>
          <w:b/>
          <w:bCs/>
          <w:color w:val="auto"/>
          <w:sz w:val="24"/>
        </w:rPr>
      </w:pPr>
      <w:r>
        <w:rPr>
          <w:rFonts w:hint="eastAsia" w:ascii="仿宋" w:hAnsi="仿宋" w:eastAsia="仿宋" w:cs="仿宋"/>
          <w:b/>
          <w:bCs/>
          <w:color w:val="auto"/>
          <w:sz w:val="24"/>
        </w:rPr>
        <w:t>四、需提交的相关资料如下：</w:t>
      </w:r>
    </w:p>
    <w:p w14:paraId="47897556">
      <w:pPr>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firstLine="240" w:firstLineChars="100"/>
        <w:textAlignment w:val="auto"/>
        <w:rPr>
          <w:rFonts w:hint="eastAsia" w:ascii="仿宋" w:hAnsi="仿宋" w:eastAsia="仿宋" w:cs="仿宋"/>
          <w:bCs/>
          <w:color w:val="auto"/>
          <w:sz w:val="24"/>
        </w:rPr>
      </w:pPr>
      <w:r>
        <w:rPr>
          <w:rFonts w:hint="eastAsia" w:ascii="仿宋" w:hAnsi="仿宋" w:eastAsia="仿宋" w:cs="仿宋"/>
          <w:bCs/>
          <w:color w:val="auto"/>
          <w:sz w:val="24"/>
        </w:rPr>
        <w:t>法人</w:t>
      </w:r>
      <w:r>
        <w:rPr>
          <w:rFonts w:hint="eastAsia" w:ascii="仿宋" w:hAnsi="仿宋" w:eastAsia="仿宋" w:cs="仿宋"/>
          <w:bCs/>
          <w:color w:val="auto"/>
          <w:sz w:val="24"/>
          <w:lang w:eastAsia="zh-CN"/>
        </w:rPr>
        <w:t>单位</w:t>
      </w:r>
      <w:r>
        <w:rPr>
          <w:rFonts w:hint="eastAsia" w:ascii="仿宋" w:hAnsi="仿宋" w:eastAsia="仿宋" w:cs="仿宋"/>
          <w:bCs/>
          <w:color w:val="auto"/>
          <w:sz w:val="24"/>
        </w:rPr>
        <w:t>须提供加盖公章的单位营业执照及法定代表人居民身份证复印件（原件备查）；</w:t>
      </w:r>
    </w:p>
    <w:p w14:paraId="2866B01B">
      <w:pPr>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firstLine="240" w:firstLineChars="100"/>
        <w:textAlignment w:val="auto"/>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非法人企业须提供加盖公章的单位营业执照及负责人（投资人）居民身份证复印件（原件备查）；</w:t>
      </w:r>
    </w:p>
    <w:p w14:paraId="3FAD947E">
      <w:pPr>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firstLine="240" w:firstLineChars="100"/>
        <w:textAlignment w:val="auto"/>
        <w:rPr>
          <w:rFonts w:hint="eastAsia" w:ascii="仿宋" w:hAnsi="仿宋" w:eastAsia="仿宋" w:cs="仿宋"/>
          <w:bCs/>
          <w:color w:val="auto"/>
          <w:sz w:val="24"/>
        </w:rPr>
      </w:pPr>
      <w:r>
        <w:rPr>
          <w:rFonts w:hint="eastAsia" w:ascii="仿宋" w:hAnsi="仿宋" w:eastAsia="仿宋" w:cs="仿宋"/>
          <w:bCs/>
          <w:color w:val="auto"/>
          <w:sz w:val="24"/>
        </w:rPr>
        <w:t>个体</w:t>
      </w:r>
      <w:r>
        <w:rPr>
          <w:rFonts w:hint="eastAsia" w:ascii="仿宋" w:hAnsi="仿宋" w:eastAsia="仿宋" w:cs="仿宋"/>
          <w:bCs/>
          <w:color w:val="auto"/>
          <w:sz w:val="24"/>
          <w:lang w:eastAsia="zh-CN"/>
        </w:rPr>
        <w:t>工商</w:t>
      </w:r>
      <w:r>
        <w:rPr>
          <w:rFonts w:hint="eastAsia" w:ascii="仿宋" w:hAnsi="仿宋" w:eastAsia="仿宋" w:cs="仿宋"/>
          <w:bCs/>
          <w:color w:val="auto"/>
          <w:sz w:val="24"/>
        </w:rPr>
        <w:t>户须提供有效营业执照复印件及</w:t>
      </w:r>
      <w:r>
        <w:rPr>
          <w:rFonts w:hint="eastAsia" w:ascii="仿宋" w:hAnsi="仿宋" w:eastAsia="仿宋" w:cs="仿宋"/>
          <w:bCs/>
          <w:color w:val="auto"/>
          <w:sz w:val="24"/>
          <w:lang w:eastAsia="zh-CN"/>
        </w:rPr>
        <w:t>经营者居民</w:t>
      </w:r>
      <w:r>
        <w:rPr>
          <w:rFonts w:hint="eastAsia" w:ascii="仿宋" w:hAnsi="仿宋" w:eastAsia="仿宋" w:cs="仿宋"/>
          <w:bCs/>
          <w:color w:val="auto"/>
          <w:sz w:val="24"/>
        </w:rPr>
        <w:t>身份证复印件（原件备查）；</w:t>
      </w:r>
    </w:p>
    <w:p w14:paraId="1CB48970">
      <w:pPr>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firstLine="240" w:firstLineChars="100"/>
        <w:textAlignment w:val="auto"/>
        <w:rPr>
          <w:rFonts w:hint="eastAsia" w:ascii="仿宋" w:hAnsi="仿宋" w:eastAsia="仿宋" w:cs="仿宋"/>
          <w:bCs/>
          <w:color w:val="auto"/>
          <w:sz w:val="24"/>
        </w:rPr>
      </w:pPr>
      <w:r>
        <w:rPr>
          <w:rFonts w:hint="eastAsia" w:ascii="仿宋" w:hAnsi="仿宋" w:eastAsia="仿宋" w:cs="仿宋"/>
          <w:bCs/>
          <w:color w:val="auto"/>
          <w:sz w:val="24"/>
        </w:rPr>
        <w:t>完全民事行为能力的自然人须提供居民身份证复印件（原件备查）；</w:t>
      </w:r>
    </w:p>
    <w:p w14:paraId="179597EA">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240" w:firstLineChars="100"/>
        <w:textAlignment w:val="auto"/>
        <w:rPr>
          <w:rFonts w:hint="eastAsia" w:ascii="仿宋" w:hAnsi="仿宋" w:eastAsia="仿宋" w:cs="仿宋"/>
          <w:bCs/>
          <w:color w:val="auto"/>
          <w:sz w:val="24"/>
        </w:rPr>
      </w:pPr>
      <w:r>
        <w:rPr>
          <w:rFonts w:hint="eastAsia" w:ascii="仿宋" w:hAnsi="仿宋" w:eastAsia="仿宋" w:cs="仿宋"/>
          <w:bCs/>
          <w:color w:val="auto"/>
          <w:sz w:val="24"/>
          <w:highlight w:val="none"/>
          <w:lang w:eastAsia="zh-CN"/>
        </w:rPr>
        <w:t>（五）</w:t>
      </w:r>
      <w:r>
        <w:rPr>
          <w:rFonts w:hint="eastAsia" w:ascii="仿宋" w:hAnsi="仿宋" w:eastAsia="仿宋" w:cs="仿宋"/>
          <w:bCs/>
          <w:color w:val="auto"/>
          <w:sz w:val="24"/>
          <w:highlight w:val="none"/>
        </w:rPr>
        <w:t>项目业主单位要求提交的其他资料</w:t>
      </w:r>
      <w:r>
        <w:rPr>
          <w:rFonts w:hint="eastAsia" w:ascii="仿宋" w:hAnsi="仿宋" w:eastAsia="仿宋" w:cs="仿宋"/>
          <w:bCs/>
          <w:color w:val="auto"/>
          <w:sz w:val="24"/>
          <w:highlight w:val="none"/>
          <w:lang w:eastAsia="zh-CN"/>
        </w:rPr>
        <w:t>：</w:t>
      </w:r>
      <w:r>
        <w:rPr>
          <w:rFonts w:hint="eastAsia" w:ascii="仿宋_GB2312" w:hAnsi="仿宋_GB2312" w:eastAsia="仿宋_GB2312" w:cs="仿宋_GB2312"/>
          <w:bCs/>
          <w:color w:val="auto"/>
          <w:sz w:val="24"/>
          <w:u w:val="single"/>
        </w:rPr>
        <w:t>无</w:t>
      </w:r>
      <w:r>
        <w:rPr>
          <w:rFonts w:hint="eastAsia" w:ascii="仿宋" w:hAnsi="仿宋" w:eastAsia="仿宋" w:cs="仿宋"/>
          <w:bCs/>
          <w:color w:val="auto"/>
          <w:sz w:val="24"/>
          <w:lang w:eastAsia="zh-CN"/>
        </w:rPr>
        <w:t>。</w:t>
      </w:r>
      <w:r>
        <w:rPr>
          <w:rFonts w:hint="eastAsia" w:ascii="仿宋" w:hAnsi="仿宋" w:eastAsia="仿宋" w:cs="仿宋"/>
          <w:bCs/>
          <w:color w:val="auto"/>
          <w:sz w:val="24"/>
        </w:rPr>
        <w:t xml:space="preserve">                   </w:t>
      </w:r>
    </w:p>
    <w:p w14:paraId="175A740A">
      <w:pPr>
        <w:keepNext w:val="0"/>
        <w:keepLines w:val="0"/>
        <w:pageBreakBefore w:val="0"/>
        <w:kinsoku/>
        <w:topLinePunct w:val="0"/>
        <w:bidi w:val="0"/>
        <w:spacing w:after="0" w:line="560" w:lineRule="exact"/>
        <w:textAlignment w:val="auto"/>
        <w:rPr>
          <w:rFonts w:hint="eastAsia" w:ascii="仿宋" w:hAnsi="仿宋" w:eastAsia="仿宋" w:cs="仿宋"/>
          <w:b/>
          <w:color w:val="auto"/>
          <w:sz w:val="24"/>
        </w:rPr>
      </w:pPr>
      <w:r>
        <w:rPr>
          <w:rFonts w:hint="eastAsia" w:ascii="仿宋" w:hAnsi="仿宋" w:eastAsia="仿宋" w:cs="仿宋"/>
          <w:b/>
          <w:color w:val="auto"/>
          <w:sz w:val="24"/>
        </w:rPr>
        <w:t>五、交易文件质疑：</w:t>
      </w:r>
    </w:p>
    <w:p w14:paraId="460D7489">
      <w:pPr>
        <w:keepNext w:val="0"/>
        <w:keepLines w:val="0"/>
        <w:pageBreakBefore w:val="0"/>
        <w:kinsoku/>
        <w:topLinePunct w:val="0"/>
        <w:bidi w:val="0"/>
        <w:spacing w:after="0" w:line="560" w:lineRule="exact"/>
        <w:ind w:firstLine="480" w:firstLineChars="200"/>
        <w:textAlignment w:val="auto"/>
        <w:rPr>
          <w:rFonts w:hint="eastAsia" w:ascii="仿宋" w:hAnsi="仿宋" w:eastAsia="仿宋" w:cs="仿宋"/>
          <w:b/>
          <w:color w:val="auto"/>
          <w:sz w:val="24"/>
        </w:rPr>
      </w:pPr>
      <w:r>
        <w:rPr>
          <w:rFonts w:hint="eastAsia" w:ascii="仿宋" w:hAnsi="仿宋" w:eastAsia="仿宋" w:cs="仿宋"/>
          <w:bCs/>
          <w:color w:val="auto"/>
          <w:sz w:val="24"/>
        </w:rPr>
        <w:t>竞投人认为交易文件的内容损害其权益的，可以在公告期内以书面形式向区农业农村局、街道办事处或纪检监察部门提出质疑。竞投人逾期质疑，或以电话、传真、电邮等其他形式提交的质疑均属于无效质疑。</w:t>
      </w:r>
    </w:p>
    <w:p w14:paraId="314FA5DA">
      <w:pPr>
        <w:keepNext w:val="0"/>
        <w:keepLines w:val="0"/>
        <w:pageBreakBefore w:val="0"/>
        <w:kinsoku/>
        <w:topLinePunct w:val="0"/>
        <w:bidi w:val="0"/>
        <w:spacing w:after="0" w:line="560" w:lineRule="exact"/>
        <w:textAlignment w:val="auto"/>
        <w:rPr>
          <w:rFonts w:hint="eastAsia" w:ascii="仿宋" w:hAnsi="仿宋" w:eastAsia="仿宋" w:cs="仿宋"/>
          <w:b/>
          <w:color w:val="auto"/>
          <w:sz w:val="24"/>
        </w:rPr>
      </w:pPr>
      <w:r>
        <w:rPr>
          <w:rFonts w:hint="eastAsia" w:ascii="仿宋" w:hAnsi="仿宋" w:eastAsia="仿宋" w:cs="仿宋"/>
          <w:b/>
          <w:color w:val="auto"/>
          <w:sz w:val="24"/>
        </w:rPr>
        <w:t>六、注意事项：</w:t>
      </w:r>
    </w:p>
    <w:p w14:paraId="189CF6E0">
      <w:pPr>
        <w:keepNext w:val="0"/>
        <w:keepLines w:val="0"/>
        <w:pageBreakBefore w:val="0"/>
        <w:widowControl w:val="0"/>
        <w:kinsoku/>
        <w:wordWrap/>
        <w:overflowPunct/>
        <w:topLinePunct w:val="0"/>
        <w:autoSpaceDE/>
        <w:autoSpaceDN/>
        <w:bidi w:val="0"/>
        <w:adjustRightInd/>
        <w:snapToGrid/>
        <w:spacing w:after="0" w:line="560" w:lineRule="exact"/>
        <w:ind w:firstLine="240" w:firstLineChars="100"/>
        <w:textAlignment w:val="auto"/>
        <w:rPr>
          <w:rFonts w:hint="eastAsia" w:ascii="仿宋" w:hAnsi="仿宋" w:eastAsia="仿宋" w:cs="仿宋"/>
          <w:color w:val="auto"/>
          <w:sz w:val="24"/>
        </w:rPr>
      </w:pPr>
      <w:r>
        <w:rPr>
          <w:rFonts w:hint="eastAsia" w:ascii="仿宋" w:hAnsi="仿宋" w:eastAsia="仿宋" w:cs="仿宋"/>
          <w:color w:val="auto"/>
          <w:sz w:val="24"/>
        </w:rPr>
        <w:t>（一）本次交易公告等相关信息在广州市天河区农村集体资产管理平台、天河区信息网等信息平台</w:t>
      </w:r>
      <w:r>
        <w:rPr>
          <w:rFonts w:hint="eastAsia" w:ascii="仿宋" w:hAnsi="仿宋" w:eastAsia="仿宋" w:cs="仿宋"/>
          <w:color w:val="auto"/>
          <w:sz w:val="24"/>
          <w:lang w:eastAsia="zh-CN"/>
        </w:rPr>
        <w:t>上</w:t>
      </w:r>
      <w:r>
        <w:rPr>
          <w:rFonts w:hint="eastAsia" w:ascii="仿宋" w:hAnsi="仿宋" w:eastAsia="仿宋" w:cs="仿宋"/>
          <w:color w:val="auto"/>
          <w:sz w:val="24"/>
        </w:rPr>
        <w:t>公布，并视为有效送达，不再另行通知。</w:t>
      </w:r>
    </w:p>
    <w:p w14:paraId="77C2E2A0">
      <w:pPr>
        <w:keepNext w:val="0"/>
        <w:keepLines w:val="0"/>
        <w:pageBreakBefore w:val="0"/>
        <w:widowControl w:val="0"/>
        <w:kinsoku/>
        <w:wordWrap/>
        <w:overflowPunct/>
        <w:topLinePunct w:val="0"/>
        <w:autoSpaceDE/>
        <w:autoSpaceDN/>
        <w:bidi w:val="0"/>
        <w:adjustRightInd/>
        <w:snapToGrid/>
        <w:spacing w:after="0" w:line="560" w:lineRule="exact"/>
        <w:ind w:right="26" w:firstLine="240" w:firstLineChars="100"/>
        <w:textAlignment w:val="auto"/>
        <w:rPr>
          <w:rFonts w:hint="eastAsia" w:ascii="仿宋" w:hAnsi="仿宋" w:eastAsia="仿宋" w:cs="仿宋"/>
          <w:color w:val="auto"/>
          <w:sz w:val="24"/>
          <w:u w:val="single"/>
          <w:lang w:eastAsia="zh-CN"/>
        </w:rPr>
      </w:pPr>
      <w:r>
        <w:rPr>
          <w:rFonts w:hint="eastAsia" w:ascii="仿宋" w:hAnsi="仿宋" w:eastAsia="仿宋" w:cs="仿宋"/>
          <w:color w:val="auto"/>
          <w:sz w:val="24"/>
        </w:rPr>
        <w:t>（二）本次交易不举行集中答疑会，如有关于交易流程的疑问请以书面、传真或电邮形式至</w:t>
      </w:r>
      <w:r>
        <w:rPr>
          <w:rFonts w:hint="eastAsia" w:ascii="仿宋" w:hAnsi="仿宋" w:eastAsia="仿宋" w:cs="仿宋"/>
          <w:bCs/>
          <w:color w:val="auto"/>
          <w:sz w:val="24"/>
        </w:rPr>
        <w:t>广州市天河区农村集体资产交易中心</w:t>
      </w:r>
      <w:r>
        <w:rPr>
          <w:rFonts w:hint="eastAsia" w:ascii="仿宋" w:hAnsi="仿宋" w:eastAsia="仿宋" w:cs="仿宋"/>
          <w:color w:val="auto"/>
          <w:sz w:val="24"/>
        </w:rPr>
        <w:t>释疑。</w:t>
      </w:r>
    </w:p>
    <w:p w14:paraId="53165F71">
      <w:pPr>
        <w:keepNext w:val="0"/>
        <w:keepLines w:val="0"/>
        <w:pageBreakBefore w:val="0"/>
        <w:widowControl w:val="0"/>
        <w:kinsoku/>
        <w:wordWrap/>
        <w:overflowPunct/>
        <w:topLinePunct w:val="0"/>
        <w:autoSpaceDE/>
        <w:autoSpaceDN/>
        <w:bidi w:val="0"/>
        <w:adjustRightInd/>
        <w:snapToGrid/>
        <w:spacing w:after="0" w:line="560" w:lineRule="exact"/>
        <w:ind w:firstLine="240" w:firstLineChars="100"/>
        <w:textAlignment w:val="auto"/>
        <w:rPr>
          <w:rFonts w:hint="eastAsia" w:ascii="仿宋" w:hAnsi="仿宋" w:eastAsia="仿宋" w:cs="仿宋"/>
          <w:color w:val="auto"/>
          <w:sz w:val="24"/>
          <w:lang w:eastAsia="zh-CN"/>
        </w:rPr>
      </w:pPr>
      <w:r>
        <w:rPr>
          <w:rFonts w:hint="eastAsia" w:ascii="仿宋" w:hAnsi="仿宋" w:eastAsia="仿宋" w:cs="仿宋"/>
          <w:color w:val="auto"/>
          <w:sz w:val="24"/>
        </w:rPr>
        <w:t>（三）本次交易不组织实地勘察，</w:t>
      </w:r>
      <w:r>
        <w:rPr>
          <w:rFonts w:hint="eastAsia" w:ascii="仿宋" w:hAnsi="仿宋" w:eastAsia="仿宋" w:cs="仿宋"/>
          <w:color w:val="auto"/>
          <w:sz w:val="24"/>
          <w:lang w:eastAsia="zh-CN"/>
        </w:rPr>
        <w:t>项目</w:t>
      </w:r>
      <w:r>
        <w:rPr>
          <w:rFonts w:hint="eastAsia" w:ascii="仿宋" w:hAnsi="仿宋" w:eastAsia="仿宋" w:cs="仿宋"/>
          <w:color w:val="auto"/>
          <w:sz w:val="24"/>
        </w:rPr>
        <w:t>标的以实物为准，</w:t>
      </w:r>
      <w:r>
        <w:rPr>
          <w:rFonts w:hint="eastAsia" w:ascii="仿宋" w:hAnsi="仿宋" w:eastAsia="仿宋" w:cs="仿宋"/>
          <w:color w:val="auto"/>
          <w:sz w:val="24"/>
          <w:lang w:eastAsia="zh-CN"/>
        </w:rPr>
        <w:t>本交易文件提供的本项目的说明及资料仅供竞投人参考，不构成对项目的任何担保，</w:t>
      </w:r>
      <w:r>
        <w:rPr>
          <w:rFonts w:hint="eastAsia" w:ascii="仿宋" w:hAnsi="仿宋" w:eastAsia="仿宋" w:cs="仿宋"/>
          <w:color w:val="auto"/>
          <w:sz w:val="24"/>
        </w:rPr>
        <w:t>竞投</w:t>
      </w:r>
      <w:r>
        <w:rPr>
          <w:rFonts w:hint="eastAsia" w:ascii="仿宋" w:hAnsi="仿宋" w:eastAsia="仿宋" w:cs="仿宋"/>
          <w:color w:val="auto"/>
          <w:sz w:val="24"/>
          <w:lang w:eastAsia="zh-CN"/>
        </w:rPr>
        <w:t>意向</w:t>
      </w:r>
      <w:r>
        <w:rPr>
          <w:rFonts w:hint="eastAsia" w:ascii="仿宋" w:hAnsi="仿宋" w:eastAsia="仿宋" w:cs="仿宋"/>
          <w:color w:val="auto"/>
          <w:sz w:val="24"/>
        </w:rPr>
        <w:t>人</w:t>
      </w:r>
      <w:r>
        <w:rPr>
          <w:rFonts w:hint="eastAsia" w:ascii="仿宋" w:hAnsi="仿宋" w:eastAsia="仿宋" w:cs="仿宋"/>
          <w:color w:val="auto"/>
          <w:sz w:val="24"/>
          <w:lang w:eastAsia="zh-CN"/>
        </w:rPr>
        <w:t>在报名前须认真研究、实地查看，并向</w:t>
      </w:r>
      <w:r>
        <w:rPr>
          <w:rFonts w:hint="eastAsia" w:ascii="仿宋" w:hAnsi="仿宋" w:eastAsia="仿宋" w:cs="仿宋"/>
          <w:color w:val="auto"/>
          <w:sz w:val="24"/>
          <w:highlight w:val="none"/>
          <w:lang w:eastAsia="zh-CN"/>
        </w:rPr>
        <w:t>项目业主单位</w:t>
      </w:r>
      <w:r>
        <w:rPr>
          <w:rFonts w:hint="eastAsia" w:ascii="仿宋" w:hAnsi="仿宋" w:eastAsia="仿宋" w:cs="仿宋"/>
          <w:color w:val="auto"/>
          <w:sz w:val="24"/>
          <w:lang w:eastAsia="zh-CN"/>
        </w:rPr>
        <w:t>了解项目的实际情况，独立做出竞投判断，一经报名，视为竞投人已完全了解项目的全部内容，并认可项目标的的现状，同时愿承担参加竞投所产生的一切风险及责任，交易双方若产生任何纠纷及损失，</w:t>
      </w:r>
      <w:r>
        <w:rPr>
          <w:rFonts w:hint="eastAsia" w:ascii="仿宋" w:hAnsi="仿宋" w:eastAsia="仿宋" w:cs="仿宋"/>
          <w:color w:val="auto"/>
          <w:sz w:val="24"/>
          <w:highlight w:val="none"/>
          <w:lang w:eastAsia="zh-CN"/>
        </w:rPr>
        <w:t>广州市</w:t>
      </w:r>
      <w:r>
        <w:rPr>
          <w:rFonts w:hint="eastAsia" w:ascii="仿宋" w:hAnsi="仿宋" w:eastAsia="仿宋" w:cs="仿宋"/>
          <w:color w:val="auto"/>
          <w:sz w:val="24"/>
          <w:lang w:eastAsia="zh-CN"/>
        </w:rPr>
        <w:t>天河区农村集体资产交易中心不承担任何责任。</w:t>
      </w:r>
    </w:p>
    <w:p w14:paraId="419FEF96">
      <w:pPr>
        <w:keepNext w:val="0"/>
        <w:keepLines w:val="0"/>
        <w:pageBreakBefore w:val="0"/>
        <w:widowControl w:val="0"/>
        <w:kinsoku/>
        <w:wordWrap/>
        <w:overflowPunct/>
        <w:topLinePunct w:val="0"/>
        <w:autoSpaceDE/>
        <w:autoSpaceDN/>
        <w:bidi w:val="0"/>
        <w:adjustRightInd/>
        <w:snapToGrid/>
        <w:spacing w:after="0" w:line="560" w:lineRule="exact"/>
        <w:ind w:firstLine="240" w:firstLineChars="10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（四）</w:t>
      </w:r>
      <w:r>
        <w:rPr>
          <w:rFonts w:hint="eastAsia" w:ascii="仿宋" w:hAnsi="仿宋" w:eastAsia="仿宋" w:cs="仿宋"/>
          <w:color w:val="auto"/>
          <w:sz w:val="24"/>
          <w:highlight w:val="none"/>
          <w:lang w:eastAsia="zh-CN"/>
        </w:rPr>
        <w:t>广州市天河区农村集体资产交易中心</w:t>
      </w:r>
      <w:r>
        <w:rPr>
          <w:rFonts w:hint="eastAsia" w:ascii="仿宋" w:hAnsi="仿宋" w:eastAsia="仿宋" w:cs="仿宋"/>
          <w:color w:val="auto"/>
          <w:sz w:val="24"/>
          <w:lang w:eastAsia="zh-CN"/>
        </w:rPr>
        <w:t>不对交易的农村集体资产的质量瑕疵、权属合法性瑕疵及合同违约等风险承担法律责任。</w:t>
      </w:r>
    </w:p>
    <w:p w14:paraId="74334A21">
      <w:pPr>
        <w:keepNext w:val="0"/>
        <w:keepLines w:val="0"/>
        <w:pageBreakBefore w:val="0"/>
        <w:widowControl w:val="0"/>
        <w:kinsoku/>
        <w:wordWrap/>
        <w:overflowPunct/>
        <w:topLinePunct w:val="0"/>
        <w:autoSpaceDE/>
        <w:autoSpaceDN/>
        <w:bidi w:val="0"/>
        <w:adjustRightInd/>
        <w:snapToGrid/>
        <w:spacing w:after="0" w:line="560" w:lineRule="exact"/>
        <w:ind w:firstLine="240" w:firstLineChars="100"/>
        <w:textAlignment w:val="auto"/>
        <w:rPr>
          <w:rFonts w:hint="eastAsia" w:ascii="仿宋" w:hAnsi="仿宋" w:eastAsia="仿宋" w:cs="仿宋"/>
          <w:b/>
          <w:color w:val="auto"/>
          <w:sz w:val="24"/>
        </w:rPr>
      </w:pPr>
      <w:r>
        <w:rPr>
          <w:rFonts w:hint="eastAsia" w:ascii="仿宋" w:hAnsi="仿宋" w:eastAsia="仿宋" w:cs="仿宋"/>
          <w:color w:val="auto"/>
          <w:sz w:val="24"/>
        </w:rPr>
        <w:t>（</w:t>
      </w:r>
      <w:r>
        <w:rPr>
          <w:rFonts w:hint="eastAsia" w:ascii="仿宋" w:hAnsi="仿宋" w:eastAsia="仿宋" w:cs="仿宋"/>
          <w:color w:val="auto"/>
          <w:sz w:val="24"/>
          <w:lang w:eastAsia="zh-CN"/>
        </w:rPr>
        <w:t>五</w:t>
      </w:r>
      <w:r>
        <w:rPr>
          <w:rFonts w:hint="eastAsia" w:ascii="仿宋" w:hAnsi="仿宋" w:eastAsia="仿宋" w:cs="仿宋"/>
          <w:color w:val="auto"/>
          <w:sz w:val="24"/>
        </w:rPr>
        <w:t>）本次交易只负责决定受让人或合作伙伴，项目交付、产权和股权交割按国家相关法规办理，不属本次交易内容，</w:t>
      </w:r>
      <w:r>
        <w:rPr>
          <w:rFonts w:hint="eastAsia" w:ascii="仿宋" w:hAnsi="仿宋" w:eastAsia="仿宋" w:cs="仿宋"/>
          <w:color w:val="auto"/>
          <w:sz w:val="24"/>
          <w:highlight w:val="none"/>
        </w:rPr>
        <w:t>广州市天河区农村集体资产交易中心</w:t>
      </w:r>
      <w:r>
        <w:rPr>
          <w:rFonts w:hint="eastAsia" w:ascii="仿宋" w:hAnsi="仿宋" w:eastAsia="仿宋" w:cs="仿宋"/>
          <w:color w:val="auto"/>
          <w:sz w:val="24"/>
        </w:rPr>
        <w:t>不</w:t>
      </w:r>
      <w:r>
        <w:rPr>
          <w:rFonts w:hint="eastAsia" w:ascii="仿宋" w:hAnsi="仿宋" w:eastAsia="仿宋" w:cs="仿宋"/>
          <w:color w:val="auto"/>
          <w:sz w:val="24"/>
          <w:lang w:eastAsia="zh-CN"/>
        </w:rPr>
        <w:t>承担</w:t>
      </w:r>
      <w:r>
        <w:rPr>
          <w:rFonts w:hint="eastAsia" w:ascii="仿宋" w:hAnsi="仿宋" w:eastAsia="仿宋" w:cs="仿宋"/>
          <w:color w:val="auto"/>
          <w:sz w:val="24"/>
        </w:rPr>
        <w:t>任何责任。</w:t>
      </w:r>
    </w:p>
    <w:p w14:paraId="1C52CB8E">
      <w:pPr>
        <w:keepNext w:val="0"/>
        <w:keepLines w:val="0"/>
        <w:pageBreakBefore w:val="0"/>
        <w:kinsoku/>
        <w:topLinePunct w:val="0"/>
        <w:bidi w:val="0"/>
        <w:spacing w:after="0" w:line="560" w:lineRule="exact"/>
        <w:jc w:val="left"/>
        <w:textAlignment w:val="auto"/>
        <w:rPr>
          <w:rFonts w:hint="eastAsia" w:ascii="仿宋" w:hAnsi="仿宋" w:eastAsia="仿宋" w:cs="仿宋"/>
          <w:b/>
          <w:color w:val="auto"/>
          <w:sz w:val="24"/>
        </w:rPr>
      </w:pPr>
      <w:r>
        <w:rPr>
          <w:rFonts w:hint="eastAsia" w:ascii="仿宋" w:hAnsi="仿宋" w:eastAsia="仿宋" w:cs="仿宋"/>
          <w:b/>
          <w:color w:val="auto"/>
          <w:sz w:val="24"/>
        </w:rPr>
        <w:t>七、联系方式：</w:t>
      </w:r>
    </w:p>
    <w:p w14:paraId="2C9FD49A">
      <w:pPr>
        <w:keepNext w:val="0"/>
        <w:keepLines w:val="0"/>
        <w:pageBreakBefore w:val="0"/>
        <w:widowControl w:val="0"/>
        <w:kinsoku/>
        <w:wordWrap/>
        <w:overflowPunct/>
        <w:topLinePunct w:val="0"/>
        <w:autoSpaceDE/>
        <w:autoSpaceDN/>
        <w:bidi w:val="0"/>
        <w:adjustRightInd/>
        <w:snapToGrid/>
        <w:spacing w:after="0" w:line="560" w:lineRule="exact"/>
        <w:ind w:firstLine="240" w:firstLineChars="100"/>
        <w:textAlignment w:val="auto"/>
        <w:rPr>
          <w:rFonts w:hint="eastAsia" w:ascii="仿宋" w:hAnsi="仿宋" w:eastAsia="仿宋" w:cs="仿宋"/>
          <w:color w:val="auto"/>
          <w:sz w:val="24"/>
        </w:rPr>
      </w:pPr>
      <w:r>
        <w:rPr>
          <w:rFonts w:hint="eastAsia" w:ascii="仿宋" w:hAnsi="仿宋" w:eastAsia="仿宋" w:cs="仿宋"/>
          <w:color w:val="auto"/>
          <w:sz w:val="24"/>
        </w:rPr>
        <w:t>（一）编制单位名称：</w:t>
      </w:r>
      <w:r>
        <w:rPr>
          <w:rFonts w:ascii="仿宋" w:hAnsi="仿宋" w:eastAsia="仿宋" w:cs="仿宋"/>
          <w:color w:val="auto"/>
          <w:spacing w:val="0"/>
          <w:position w:val="0"/>
          <w:sz w:val="24"/>
          <w:u w:val="single"/>
          <w:shd w:val="clear" w:color="auto" w:fill="auto"/>
        </w:rPr>
        <w:t>广州市天河区石牌三骏企业集团有限公司</w:t>
      </w:r>
    </w:p>
    <w:p w14:paraId="484F26E8">
      <w:pPr>
        <w:keepNext w:val="0"/>
        <w:keepLines w:val="0"/>
        <w:pageBreakBefore w:val="0"/>
        <w:widowControl w:val="0"/>
        <w:kinsoku/>
        <w:wordWrap/>
        <w:overflowPunct/>
        <w:topLinePunct w:val="0"/>
        <w:autoSpaceDE/>
        <w:autoSpaceDN/>
        <w:bidi w:val="0"/>
        <w:adjustRightInd/>
        <w:snapToGrid/>
        <w:spacing w:after="0" w:line="560" w:lineRule="exact"/>
        <w:ind w:firstLine="960" w:firstLineChars="400"/>
        <w:textAlignment w:val="auto"/>
        <w:rPr>
          <w:rFonts w:hint="eastAsia" w:ascii="仿宋" w:hAnsi="仿宋" w:eastAsia="仿宋" w:cs="仿宋"/>
          <w:color w:val="auto"/>
          <w:sz w:val="24"/>
          <w:u w:val="single"/>
        </w:rPr>
      </w:pPr>
      <w:r>
        <w:rPr>
          <w:rFonts w:hint="eastAsia" w:ascii="仿宋" w:hAnsi="仿宋" w:eastAsia="仿宋" w:cs="仿宋"/>
          <w:color w:val="auto"/>
          <w:sz w:val="24"/>
        </w:rPr>
        <w:t>编制单位地址：</w:t>
      </w:r>
      <w:r>
        <w:rPr>
          <w:rFonts w:ascii="仿宋" w:hAnsi="仿宋" w:eastAsia="仿宋" w:cs="仿宋"/>
          <w:color w:val="auto"/>
          <w:spacing w:val="0"/>
          <w:position w:val="0"/>
          <w:sz w:val="24"/>
          <w:u w:val="single"/>
          <w:shd w:val="clear" w:color="auto" w:fill="auto"/>
        </w:rPr>
        <w:t>广州市天河区海安路9号三楼</w:t>
      </w:r>
    </w:p>
    <w:p w14:paraId="0BB4A67C">
      <w:pPr>
        <w:keepNext w:val="0"/>
        <w:keepLines w:val="0"/>
        <w:pageBreakBefore w:val="0"/>
        <w:widowControl w:val="0"/>
        <w:tabs>
          <w:tab w:val="left" w:pos="9356"/>
        </w:tabs>
        <w:kinsoku/>
        <w:wordWrap/>
        <w:overflowPunct/>
        <w:topLinePunct w:val="0"/>
        <w:autoSpaceDE/>
        <w:autoSpaceDN/>
        <w:bidi w:val="0"/>
        <w:adjustRightInd/>
        <w:snapToGrid/>
        <w:spacing w:after="0" w:line="560" w:lineRule="exact"/>
        <w:ind w:firstLine="960" w:firstLineChars="400"/>
        <w:textAlignment w:val="auto"/>
        <w:rPr>
          <w:rFonts w:hint="eastAsia" w:ascii="仿宋" w:hAnsi="仿宋" w:eastAsia="仿宋" w:cs="仿宋"/>
          <w:color w:val="auto"/>
          <w:sz w:val="24"/>
          <w:u w:val="single"/>
        </w:rPr>
      </w:pPr>
      <w:r>
        <w:rPr>
          <w:rFonts w:hint="eastAsia" w:ascii="仿宋" w:hAnsi="仿宋" w:eastAsia="仿宋" w:cs="仿宋"/>
          <w:color w:val="auto"/>
          <w:sz w:val="24"/>
        </w:rPr>
        <w:t>编制单位联系人：</w:t>
      </w:r>
      <w:r>
        <w:rPr>
          <w:rFonts w:ascii="仿宋" w:hAnsi="仿宋" w:eastAsia="仿宋" w:cs="仿宋"/>
          <w:color w:val="auto"/>
          <w:spacing w:val="0"/>
          <w:position w:val="0"/>
          <w:sz w:val="24"/>
          <w:u w:val="single"/>
          <w:shd w:val="clear" w:color="auto" w:fill="auto"/>
        </w:rPr>
        <w:t>池锦玲</w:t>
      </w:r>
    </w:p>
    <w:p w14:paraId="19D2AE09">
      <w:pPr>
        <w:keepNext w:val="0"/>
        <w:keepLines w:val="0"/>
        <w:pageBreakBefore w:val="0"/>
        <w:widowControl w:val="0"/>
        <w:kinsoku/>
        <w:wordWrap/>
        <w:overflowPunct/>
        <w:topLinePunct w:val="0"/>
        <w:autoSpaceDE/>
        <w:autoSpaceDN/>
        <w:bidi w:val="0"/>
        <w:adjustRightInd/>
        <w:snapToGrid/>
        <w:spacing w:after="0" w:line="560" w:lineRule="exact"/>
        <w:ind w:firstLine="960" w:firstLineChars="400"/>
        <w:textAlignment w:val="auto"/>
        <w:rPr>
          <w:rFonts w:hint="eastAsia" w:ascii="仿宋" w:hAnsi="仿宋" w:eastAsia="仿宋" w:cs="仿宋"/>
          <w:color w:val="auto"/>
          <w:sz w:val="24"/>
          <w:u w:val="single"/>
        </w:rPr>
      </w:pPr>
      <w:r>
        <w:rPr>
          <w:rFonts w:hint="eastAsia" w:ascii="仿宋" w:hAnsi="仿宋" w:eastAsia="仿宋" w:cs="仿宋"/>
          <w:color w:val="auto"/>
          <w:sz w:val="24"/>
        </w:rPr>
        <w:t>编制单位联系电话：</w:t>
      </w:r>
      <w:r>
        <w:rPr>
          <w:rFonts w:ascii="仿宋" w:hAnsi="仿宋" w:eastAsia="仿宋" w:cs="仿宋"/>
          <w:color w:val="auto"/>
          <w:spacing w:val="0"/>
          <w:position w:val="0"/>
          <w:sz w:val="24"/>
          <w:u w:val="single"/>
          <w:shd w:val="clear" w:color="auto" w:fill="auto"/>
        </w:rPr>
        <w:t>85513396</w:t>
      </w:r>
    </w:p>
    <w:p w14:paraId="01FA66DA">
      <w:pPr>
        <w:keepNext w:val="0"/>
        <w:keepLines w:val="0"/>
        <w:pageBreakBefore w:val="0"/>
        <w:widowControl w:val="0"/>
        <w:kinsoku/>
        <w:wordWrap/>
        <w:overflowPunct/>
        <w:topLinePunct w:val="0"/>
        <w:autoSpaceDE/>
        <w:autoSpaceDN/>
        <w:bidi w:val="0"/>
        <w:adjustRightInd/>
        <w:snapToGrid/>
        <w:spacing w:after="0" w:line="560" w:lineRule="exact"/>
        <w:ind w:firstLine="240" w:firstLineChars="100"/>
        <w:textAlignment w:val="auto"/>
        <w:rPr>
          <w:rFonts w:hint="eastAsia" w:ascii="仿宋" w:hAnsi="仿宋" w:eastAsia="仿宋" w:cs="仿宋"/>
          <w:color w:val="auto"/>
          <w:sz w:val="24"/>
        </w:rPr>
      </w:pPr>
      <w:r>
        <w:rPr>
          <w:rFonts w:hint="eastAsia" w:ascii="仿宋" w:hAnsi="仿宋" w:eastAsia="仿宋" w:cs="仿宋"/>
          <w:color w:val="auto"/>
          <w:sz w:val="24"/>
        </w:rPr>
        <w:t>（二）交易服务机构名称：</w:t>
      </w:r>
      <w:r>
        <w:rPr>
          <w:rFonts w:hint="eastAsia" w:ascii="仿宋" w:hAnsi="仿宋" w:eastAsia="仿宋" w:cs="仿宋"/>
          <w:color w:val="auto"/>
          <w:sz w:val="24"/>
          <w:u w:val="single"/>
        </w:rPr>
        <w:t>广州市天河区农村集体资产交易中心</w:t>
      </w:r>
    </w:p>
    <w:p w14:paraId="714A2FE5">
      <w:pPr>
        <w:keepNext w:val="0"/>
        <w:keepLines w:val="0"/>
        <w:pageBreakBefore w:val="0"/>
        <w:widowControl w:val="0"/>
        <w:kinsoku/>
        <w:wordWrap/>
        <w:overflowPunct/>
        <w:topLinePunct w:val="0"/>
        <w:autoSpaceDE/>
        <w:autoSpaceDN/>
        <w:bidi w:val="0"/>
        <w:adjustRightInd/>
        <w:snapToGrid/>
        <w:spacing w:after="0" w:line="560" w:lineRule="exact"/>
        <w:ind w:firstLine="960" w:firstLineChars="400"/>
        <w:textAlignment w:val="auto"/>
        <w:rPr>
          <w:rFonts w:hint="eastAsia" w:ascii="仿宋" w:hAnsi="仿宋" w:eastAsia="仿宋" w:cs="仿宋"/>
          <w:color w:val="auto"/>
          <w:sz w:val="24"/>
        </w:rPr>
      </w:pPr>
      <w:r>
        <w:rPr>
          <w:rFonts w:hint="eastAsia" w:ascii="仿宋" w:hAnsi="仿宋" w:eastAsia="仿宋" w:cs="仿宋"/>
          <w:color w:val="auto"/>
          <w:sz w:val="24"/>
        </w:rPr>
        <w:t>交易服务机构地址：</w:t>
      </w:r>
      <w:r>
        <w:rPr>
          <w:rFonts w:hint="eastAsia" w:ascii="仿宋" w:hAnsi="仿宋" w:eastAsia="仿宋" w:cs="仿宋"/>
          <w:color w:val="auto"/>
          <w:sz w:val="24"/>
          <w:u w:val="single"/>
        </w:rPr>
        <w:t>天河区政务服务中心6楼（天河区软件路13号）</w:t>
      </w:r>
    </w:p>
    <w:p w14:paraId="69EB0F07">
      <w:pPr>
        <w:keepNext w:val="0"/>
        <w:keepLines w:val="0"/>
        <w:pageBreakBefore w:val="0"/>
        <w:widowControl w:val="0"/>
        <w:kinsoku/>
        <w:wordWrap/>
        <w:overflowPunct/>
        <w:topLinePunct w:val="0"/>
        <w:autoSpaceDE/>
        <w:autoSpaceDN/>
        <w:bidi w:val="0"/>
        <w:adjustRightInd/>
        <w:snapToGrid/>
        <w:spacing w:after="0" w:line="560" w:lineRule="exact"/>
        <w:ind w:firstLine="960" w:firstLineChars="400"/>
        <w:textAlignment w:val="auto"/>
        <w:rPr>
          <w:rFonts w:hint="eastAsia" w:ascii="仿宋" w:hAnsi="仿宋" w:eastAsia="仿宋" w:cs="仿宋"/>
          <w:color w:val="auto"/>
          <w:sz w:val="24"/>
        </w:rPr>
      </w:pPr>
      <w:r>
        <w:rPr>
          <w:rFonts w:hint="eastAsia" w:ascii="仿宋" w:hAnsi="仿宋" w:eastAsia="仿宋" w:cs="仿宋"/>
          <w:color w:val="auto"/>
          <w:sz w:val="24"/>
        </w:rPr>
        <w:t>交易服务机构联系部门：</w:t>
      </w:r>
      <w:r>
        <w:rPr>
          <w:rFonts w:hint="eastAsia" w:ascii="仿宋" w:hAnsi="仿宋" w:eastAsia="仿宋" w:cs="仿宋"/>
          <w:color w:val="auto"/>
          <w:sz w:val="24"/>
          <w:u w:val="single"/>
        </w:rPr>
        <w:t xml:space="preserve">    交易部    </w:t>
      </w:r>
    </w:p>
    <w:p w14:paraId="25471395">
      <w:pPr>
        <w:keepNext w:val="0"/>
        <w:keepLines w:val="0"/>
        <w:pageBreakBefore w:val="0"/>
        <w:widowControl w:val="0"/>
        <w:kinsoku/>
        <w:wordWrap/>
        <w:overflowPunct/>
        <w:topLinePunct w:val="0"/>
        <w:autoSpaceDE/>
        <w:autoSpaceDN/>
        <w:bidi w:val="0"/>
        <w:adjustRightInd/>
        <w:snapToGrid/>
        <w:spacing w:after="0" w:line="560" w:lineRule="exact"/>
        <w:ind w:firstLine="960" w:firstLineChars="400"/>
        <w:textAlignment w:val="auto"/>
        <w:rPr>
          <w:rFonts w:hint="eastAsia" w:ascii="仿宋" w:hAnsi="仿宋" w:eastAsia="仿宋" w:cs="仿宋"/>
          <w:color w:val="auto"/>
          <w:sz w:val="24"/>
          <w:u w:val="single"/>
        </w:rPr>
      </w:pPr>
      <w:r>
        <w:rPr>
          <w:rFonts w:hint="eastAsia" w:ascii="仿宋" w:hAnsi="仿宋" w:eastAsia="仿宋" w:cs="仿宋"/>
          <w:color w:val="auto"/>
          <w:sz w:val="24"/>
        </w:rPr>
        <w:t>交易服务机构联系电话：</w:t>
      </w:r>
      <w:r>
        <w:rPr>
          <w:rFonts w:hint="eastAsia" w:ascii="仿宋" w:hAnsi="仿宋" w:eastAsia="仿宋" w:cs="仿宋"/>
          <w:color w:val="auto"/>
          <w:sz w:val="24"/>
          <w:u w:val="single"/>
        </w:rPr>
        <w:t xml:space="preserve"> 020-37690255 </w:t>
      </w:r>
    </w:p>
    <w:p w14:paraId="4D705710">
      <w:pPr>
        <w:keepNext w:val="0"/>
        <w:keepLines w:val="0"/>
        <w:pageBreakBefore w:val="0"/>
        <w:widowControl w:val="0"/>
        <w:kinsoku/>
        <w:wordWrap/>
        <w:overflowPunct/>
        <w:topLinePunct w:val="0"/>
        <w:autoSpaceDE/>
        <w:autoSpaceDN/>
        <w:bidi w:val="0"/>
        <w:adjustRightInd/>
        <w:snapToGrid/>
        <w:spacing w:after="0" w:line="560" w:lineRule="exact"/>
        <w:ind w:right="440" w:rightChars="200" w:firstLine="960" w:firstLineChars="400"/>
        <w:jc w:val="both"/>
        <w:textAlignment w:val="auto"/>
        <w:rPr>
          <w:rFonts w:hint="eastAsia" w:ascii="仿宋" w:hAnsi="仿宋" w:eastAsia="仿宋" w:cs="仿宋"/>
          <w:color w:val="auto"/>
          <w:sz w:val="24"/>
          <w:u w:val="single"/>
        </w:rPr>
      </w:pPr>
      <w:r>
        <w:rPr>
          <w:rFonts w:hint="eastAsia" w:ascii="仿宋" w:hAnsi="仿宋" w:eastAsia="仿宋" w:cs="仿宋"/>
          <w:color w:val="auto"/>
          <w:sz w:val="24"/>
        </w:rPr>
        <w:t>交易服务机构：</w:t>
      </w:r>
      <w:r>
        <w:rPr>
          <w:rFonts w:hint="eastAsia" w:ascii="仿宋" w:hAnsi="仿宋" w:eastAsia="仿宋" w:cs="仿宋"/>
          <w:color w:val="auto"/>
          <w:sz w:val="24"/>
          <w:u w:val="single"/>
        </w:rPr>
        <w:t>广州市天河区农村集体资产交易中心</w:t>
      </w:r>
      <w:bookmarkStart w:id="0" w:name="_Toc391912291"/>
      <w:bookmarkStart w:id="1" w:name="_Toc391912314"/>
      <w:bookmarkStart w:id="2" w:name="_Toc263670110"/>
    </w:p>
    <w:p w14:paraId="4E4590B9">
      <w:pPr>
        <w:keepNext w:val="0"/>
        <w:keepLines w:val="0"/>
        <w:pageBreakBefore w:val="0"/>
        <w:widowControl w:val="0"/>
        <w:kinsoku/>
        <w:wordWrap/>
        <w:overflowPunct/>
        <w:topLinePunct w:val="0"/>
        <w:autoSpaceDE/>
        <w:autoSpaceDN/>
        <w:bidi w:val="0"/>
        <w:adjustRightInd/>
        <w:snapToGrid/>
        <w:spacing w:after="0" w:line="560" w:lineRule="exact"/>
        <w:ind w:right="440" w:rightChars="200" w:firstLine="960" w:firstLineChars="400"/>
        <w:jc w:val="both"/>
        <w:textAlignment w:val="auto"/>
        <w:rPr>
          <w:rFonts w:hint="eastAsia" w:ascii="仿宋" w:hAnsi="仿宋" w:eastAsia="仿宋" w:cs="仿宋"/>
          <w:color w:val="auto"/>
          <w:sz w:val="24"/>
          <w:u w:val="single"/>
        </w:rPr>
      </w:pPr>
    </w:p>
    <w:p w14:paraId="3C214E40">
      <w:pPr>
        <w:keepNext w:val="0"/>
        <w:keepLines w:val="0"/>
        <w:pageBreakBefore w:val="0"/>
        <w:widowControl w:val="0"/>
        <w:kinsoku/>
        <w:wordWrap/>
        <w:overflowPunct/>
        <w:topLinePunct w:val="0"/>
        <w:autoSpaceDE/>
        <w:autoSpaceDN/>
        <w:bidi w:val="0"/>
        <w:adjustRightInd/>
        <w:snapToGrid/>
        <w:spacing w:after="0" w:line="560" w:lineRule="exact"/>
        <w:ind w:right="440" w:rightChars="200" w:firstLine="960" w:firstLineChars="400"/>
        <w:jc w:val="both"/>
        <w:textAlignment w:val="auto"/>
        <w:rPr>
          <w:rFonts w:hint="eastAsia" w:ascii="仿宋" w:hAnsi="仿宋" w:eastAsia="仿宋" w:cs="仿宋"/>
          <w:color w:val="auto"/>
          <w:sz w:val="24"/>
          <w:u w:val="single"/>
        </w:rPr>
      </w:pPr>
    </w:p>
    <w:p w14:paraId="3A911480">
      <w:pPr>
        <w:keepNext w:val="0"/>
        <w:keepLines w:val="0"/>
        <w:pageBreakBefore w:val="0"/>
        <w:widowControl w:val="0"/>
        <w:kinsoku/>
        <w:topLinePunct w:val="0"/>
        <w:bidi w:val="0"/>
        <w:spacing w:after="0" w:line="560" w:lineRule="exact"/>
        <w:jc w:val="center"/>
        <w:textAlignment w:val="auto"/>
        <w:outlineLvl w:val="0"/>
        <w:rPr>
          <w:rFonts w:hint="eastAsia" w:ascii="宋体" w:hAnsi="宋体" w:eastAsia="宋体" w:cs="宋体"/>
          <w:b/>
          <w:bCs/>
          <w:snapToGrid/>
          <w:color w:val="auto"/>
          <w:kern w:val="2"/>
          <w:sz w:val="32"/>
          <w:szCs w:val="32"/>
          <w:lang w:val="en-US" w:eastAsia="zh-CN" w:bidi="ar-SA"/>
        </w:rPr>
      </w:pPr>
    </w:p>
    <w:p w14:paraId="57B3CEF7">
      <w:pPr>
        <w:keepNext w:val="0"/>
        <w:keepLines w:val="0"/>
        <w:pageBreakBefore w:val="0"/>
        <w:widowControl w:val="0"/>
        <w:kinsoku/>
        <w:topLinePunct w:val="0"/>
        <w:bidi w:val="0"/>
        <w:spacing w:after="0" w:line="560" w:lineRule="exact"/>
        <w:jc w:val="center"/>
        <w:textAlignment w:val="auto"/>
        <w:outlineLvl w:val="0"/>
        <w:rPr>
          <w:rFonts w:hint="eastAsia" w:ascii="宋体" w:hAnsi="宋体" w:eastAsia="宋体" w:cs="宋体"/>
          <w:b/>
          <w:bCs w:val="0"/>
          <w:snapToGrid w:val="0"/>
          <w:color w:val="auto"/>
          <w:spacing w:val="40"/>
          <w:kern w:val="0"/>
          <w:sz w:val="24"/>
          <w:szCs w:val="24"/>
          <w:lang w:val="en-US" w:eastAsia="zh-CN" w:bidi="ar-SA"/>
        </w:rPr>
      </w:pPr>
      <w:r>
        <w:rPr>
          <w:rFonts w:hint="eastAsia" w:ascii="宋体" w:hAnsi="宋体" w:eastAsia="宋体" w:cs="宋体"/>
          <w:b/>
          <w:bCs/>
          <w:snapToGrid/>
          <w:color w:val="auto"/>
          <w:kern w:val="2"/>
          <w:sz w:val="32"/>
          <w:szCs w:val="32"/>
          <w:lang w:val="en-US" w:eastAsia="zh-CN" w:bidi="ar-SA"/>
        </w:rPr>
        <w:t>第二部分  项目内容</w:t>
      </w:r>
    </w:p>
    <w:p w14:paraId="46C260D2">
      <w:pPr>
        <w:keepNext w:val="0"/>
        <w:keepLines w:val="0"/>
        <w:pageBreakBefore w:val="0"/>
        <w:kinsoku/>
        <w:topLinePunct w:val="0"/>
        <w:bidi w:val="0"/>
        <w:adjustRightInd w:val="0"/>
        <w:snapToGrid w:val="0"/>
        <w:spacing w:after="0" w:line="560" w:lineRule="exact"/>
        <w:textAlignment w:val="auto"/>
        <w:outlineLvl w:val="1"/>
        <w:rPr>
          <w:rFonts w:hint="eastAsia" w:ascii="仿宋" w:hAnsi="仿宋" w:eastAsia="仿宋" w:cs="仿宋"/>
          <w:b/>
          <w:color w:val="auto"/>
          <w:sz w:val="24"/>
        </w:rPr>
      </w:pPr>
      <w:r>
        <w:rPr>
          <w:rFonts w:hint="eastAsia" w:ascii="仿宋" w:hAnsi="仿宋" w:eastAsia="仿宋" w:cs="仿宋"/>
          <w:b/>
          <w:color w:val="auto"/>
          <w:sz w:val="24"/>
        </w:rPr>
        <w:t>一、项目业主情况</w:t>
      </w:r>
    </w:p>
    <w:p w14:paraId="37478AB0">
      <w:pPr>
        <w:keepNext w:val="0"/>
        <w:keepLines w:val="0"/>
        <w:pageBreakBefore w:val="0"/>
        <w:kinsoku/>
        <w:topLinePunct w:val="0"/>
        <w:bidi w:val="0"/>
        <w:adjustRightInd w:val="0"/>
        <w:snapToGrid w:val="0"/>
        <w:spacing w:after="0" w:line="560" w:lineRule="exact"/>
        <w:ind w:firstLine="240" w:firstLineChars="100"/>
        <w:textAlignment w:val="auto"/>
        <w:outlineLvl w:val="1"/>
        <w:rPr>
          <w:rFonts w:hint="eastAsia" w:ascii="仿宋" w:hAnsi="仿宋" w:eastAsia="仿宋" w:cs="仿宋"/>
          <w:color w:val="auto"/>
          <w:sz w:val="24"/>
          <w:u w:val="single"/>
        </w:rPr>
      </w:pPr>
      <w:r>
        <w:rPr>
          <w:rFonts w:hint="eastAsia" w:ascii="仿宋" w:hAnsi="仿宋" w:eastAsia="仿宋" w:cs="仿宋"/>
          <w:color w:val="auto"/>
          <w:sz w:val="24"/>
        </w:rPr>
        <w:t>（一）单位名称：</w:t>
      </w:r>
      <w:r>
        <w:rPr>
          <w:rFonts w:ascii="仿宋" w:hAnsi="仿宋" w:eastAsia="仿宋" w:cs="仿宋"/>
          <w:color w:val="auto"/>
          <w:spacing w:val="0"/>
          <w:position w:val="0"/>
          <w:sz w:val="24"/>
          <w:u w:val="single"/>
          <w:shd w:val="clear" w:color="auto" w:fill="auto"/>
        </w:rPr>
        <w:t>广州市天河区石牌三骏企业集团有限公司</w:t>
      </w:r>
    </w:p>
    <w:p w14:paraId="49BE755E">
      <w:pPr>
        <w:keepNext w:val="0"/>
        <w:keepLines w:val="0"/>
        <w:pageBreakBefore w:val="0"/>
        <w:kinsoku/>
        <w:topLinePunct w:val="0"/>
        <w:bidi w:val="0"/>
        <w:adjustRightInd w:val="0"/>
        <w:snapToGrid w:val="0"/>
        <w:spacing w:after="0" w:line="560" w:lineRule="exact"/>
        <w:ind w:firstLine="240" w:firstLineChars="100"/>
        <w:textAlignment w:val="auto"/>
        <w:outlineLvl w:val="1"/>
        <w:rPr>
          <w:rFonts w:hint="eastAsia" w:ascii="仿宋" w:hAnsi="仿宋" w:eastAsia="仿宋" w:cs="仿宋"/>
          <w:color w:val="auto"/>
          <w:sz w:val="24"/>
        </w:rPr>
      </w:pPr>
      <w:r>
        <w:rPr>
          <w:rFonts w:hint="eastAsia" w:ascii="仿宋" w:hAnsi="仿宋" w:eastAsia="仿宋" w:cs="仿宋"/>
          <w:color w:val="auto"/>
          <w:sz w:val="24"/>
        </w:rPr>
        <w:t>（二）单位地址：</w:t>
      </w:r>
      <w:r>
        <w:rPr>
          <w:rFonts w:ascii="仿宋" w:hAnsi="仿宋" w:eastAsia="仿宋" w:cs="仿宋"/>
          <w:color w:val="auto"/>
          <w:spacing w:val="0"/>
          <w:position w:val="0"/>
          <w:sz w:val="24"/>
          <w:u w:val="single"/>
          <w:shd w:val="clear" w:color="auto" w:fill="auto"/>
        </w:rPr>
        <w:t>广州市天河区海安路9号三楼</w:t>
      </w:r>
    </w:p>
    <w:p w14:paraId="05BE2C53">
      <w:pPr>
        <w:keepNext w:val="0"/>
        <w:keepLines w:val="0"/>
        <w:pageBreakBefore w:val="0"/>
        <w:kinsoku/>
        <w:topLinePunct w:val="0"/>
        <w:bidi w:val="0"/>
        <w:adjustRightInd w:val="0"/>
        <w:snapToGrid w:val="0"/>
        <w:spacing w:after="0" w:line="560" w:lineRule="exact"/>
        <w:ind w:firstLine="240" w:firstLineChars="100"/>
        <w:textAlignment w:val="auto"/>
        <w:outlineLvl w:val="1"/>
        <w:rPr>
          <w:rFonts w:hint="eastAsia" w:ascii="仿宋" w:hAnsi="仿宋" w:eastAsia="仿宋" w:cs="仿宋"/>
          <w:color w:val="auto"/>
          <w:sz w:val="24"/>
        </w:rPr>
      </w:pPr>
      <w:r>
        <w:rPr>
          <w:rFonts w:hint="eastAsia" w:ascii="仿宋" w:hAnsi="仿宋" w:eastAsia="仿宋" w:cs="仿宋"/>
          <w:color w:val="auto"/>
          <w:sz w:val="24"/>
        </w:rPr>
        <w:t>（三）法定代表人：</w:t>
      </w:r>
      <w:r>
        <w:rPr>
          <w:rFonts w:ascii="仿宋" w:hAnsi="仿宋" w:eastAsia="仿宋" w:cs="仿宋"/>
          <w:color w:val="auto"/>
          <w:spacing w:val="0"/>
          <w:position w:val="0"/>
          <w:sz w:val="24"/>
          <w:u w:val="single"/>
          <w:shd w:val="clear" w:color="auto" w:fill="auto"/>
        </w:rPr>
        <w:t>池锦玲</w:t>
      </w:r>
    </w:p>
    <w:p w14:paraId="17336ECB">
      <w:pPr>
        <w:keepNext w:val="0"/>
        <w:keepLines w:val="0"/>
        <w:pageBreakBefore w:val="0"/>
        <w:widowControl w:val="0"/>
        <w:kinsoku/>
        <w:topLinePunct w:val="0"/>
        <w:bidi w:val="0"/>
        <w:spacing w:after="0" w:line="560" w:lineRule="exact"/>
        <w:ind w:firstLine="240" w:firstLineChars="100"/>
        <w:jc w:val="both"/>
        <w:textAlignment w:val="auto"/>
        <w:outlineLvl w:val="0"/>
        <w:rPr>
          <w:rFonts w:hint="eastAsia" w:ascii="仿宋" w:hAnsi="仿宋" w:eastAsia="仿宋" w:cs="仿宋"/>
          <w:b w:val="0"/>
          <w:bCs w:val="0"/>
          <w:snapToGrid w:val="0"/>
          <w:color w:val="auto"/>
          <w:spacing w:val="40"/>
          <w:kern w:val="0"/>
          <w:sz w:val="24"/>
          <w:szCs w:val="24"/>
          <w:lang w:val="en-US" w:eastAsia="zh-CN" w:bidi="ar-SA"/>
        </w:rPr>
      </w:pPr>
      <w:r>
        <w:rPr>
          <w:rFonts w:hint="eastAsia" w:ascii="仿宋" w:hAnsi="仿宋" w:eastAsia="仿宋" w:cs="仿宋"/>
          <w:b w:val="0"/>
          <w:bCs/>
          <w:snapToGrid w:val="0"/>
          <w:color w:val="auto"/>
          <w:kern w:val="0"/>
          <w:sz w:val="24"/>
          <w:szCs w:val="24"/>
          <w:lang w:val="en-US" w:eastAsia="zh-CN" w:bidi="ar-SA"/>
        </w:rPr>
        <w:t>（四）联系方式：</w:t>
      </w:r>
      <w:r>
        <w:rPr>
          <w:rFonts w:ascii="仿宋" w:hAnsi="仿宋" w:eastAsia="仿宋" w:cs="仿宋"/>
          <w:b w:val="0"/>
          <w:bCs w:val="0"/>
          <w:color w:val="auto"/>
          <w:spacing w:val="0"/>
          <w:position w:val="0"/>
          <w:sz w:val="24"/>
          <w:u w:val="single"/>
          <w:shd w:val="clear" w:color="auto" w:fill="auto"/>
        </w:rPr>
        <w:t>85513396</w:t>
      </w:r>
    </w:p>
    <w:bookmarkEnd w:id="0"/>
    <w:bookmarkEnd w:id="1"/>
    <w:p w14:paraId="1224D5E8">
      <w:pPr>
        <w:keepNext w:val="0"/>
        <w:keepLines w:val="0"/>
        <w:pageBreakBefore w:val="0"/>
        <w:kinsoku/>
        <w:topLinePunct w:val="0"/>
        <w:bidi w:val="0"/>
        <w:adjustRightInd w:val="0"/>
        <w:snapToGrid w:val="0"/>
        <w:spacing w:after="0" w:line="560" w:lineRule="exact"/>
        <w:textAlignment w:val="auto"/>
        <w:outlineLvl w:val="1"/>
        <w:rPr>
          <w:rFonts w:hint="eastAsia" w:ascii="仿宋" w:hAnsi="仿宋" w:eastAsia="仿宋" w:cs="仿宋"/>
          <w:b/>
          <w:color w:val="auto"/>
          <w:sz w:val="24"/>
        </w:rPr>
      </w:pPr>
      <w:bookmarkStart w:id="3" w:name="_Toc391912315"/>
      <w:bookmarkStart w:id="4" w:name="_Toc391912292"/>
      <w:r>
        <w:rPr>
          <w:rFonts w:hint="eastAsia" w:ascii="仿宋" w:hAnsi="仿宋" w:eastAsia="仿宋" w:cs="仿宋"/>
          <w:b/>
          <w:color w:val="auto"/>
          <w:sz w:val="24"/>
        </w:rPr>
        <w:t>二、资产情况</w:t>
      </w:r>
      <w:bookmarkEnd w:id="3"/>
      <w:bookmarkEnd w:id="4"/>
    </w:p>
    <w:p w14:paraId="0DF88CA3">
      <w:pPr>
        <w:keepNext w:val="0"/>
        <w:keepLines w:val="0"/>
        <w:pageBreakBefore w:val="0"/>
        <w:kinsoku/>
        <w:topLinePunct w:val="0"/>
        <w:bidi w:val="0"/>
        <w:adjustRightInd w:val="0"/>
        <w:snapToGrid w:val="0"/>
        <w:spacing w:after="0" w:line="560" w:lineRule="exact"/>
        <w:ind w:firstLine="240" w:firstLineChars="100"/>
        <w:textAlignment w:val="auto"/>
        <w:outlineLvl w:val="1"/>
        <w:rPr>
          <w:rFonts w:hint="eastAsia" w:ascii="仿宋" w:hAnsi="仿宋" w:eastAsia="仿宋" w:cs="仿宋"/>
          <w:b/>
          <w:color w:val="auto"/>
          <w:sz w:val="24"/>
        </w:rPr>
      </w:pPr>
      <w:r>
        <w:rPr>
          <w:rFonts w:hint="eastAsia" w:ascii="仿宋" w:hAnsi="仿宋" w:eastAsia="仿宋" w:cs="仿宋"/>
          <w:color w:val="auto"/>
          <w:sz w:val="24"/>
        </w:rPr>
        <w:t>（一）基本情况</w:t>
      </w:r>
    </w:p>
    <w:p w14:paraId="16DD8C9B">
      <w:pPr>
        <w:keepNext w:val="0"/>
        <w:keepLines w:val="0"/>
        <w:pageBreakBefore w:val="0"/>
        <w:kinsoku/>
        <w:topLinePunct w:val="0"/>
        <w:bidi w:val="0"/>
        <w:adjustRightInd w:val="0"/>
        <w:snapToGrid w:val="0"/>
        <w:spacing w:after="0" w:line="560" w:lineRule="exact"/>
        <w:ind w:firstLine="240" w:firstLineChars="100"/>
        <w:textAlignment w:val="auto"/>
        <w:outlineLvl w:val="1"/>
        <w:rPr>
          <w:rFonts w:hint="eastAsia" w:ascii="仿宋" w:hAnsi="仿宋" w:eastAsia="仿宋" w:cs="仿宋"/>
          <w:color w:val="auto"/>
          <w:sz w:val="24"/>
          <w:u w:val="single"/>
        </w:rPr>
      </w:pPr>
      <w:r>
        <w:rPr>
          <w:rFonts w:hint="eastAsia" w:ascii="仿宋" w:hAnsi="仿宋" w:eastAsia="仿宋" w:cs="仿宋"/>
          <w:color w:val="auto"/>
          <w:sz w:val="24"/>
        </w:rPr>
        <w:t>1.资产类型：</w:t>
      </w:r>
      <w:r>
        <w:rPr>
          <w:rFonts w:hint="eastAsia" w:ascii="仿宋" w:hAnsi="仿宋" w:eastAsia="仿宋" w:cs="仿宋"/>
          <w:sz w:val="24"/>
          <w:u w:val="single"/>
        </w:rPr>
        <w:t>物业资产</w:t>
      </w:r>
    </w:p>
    <w:p w14:paraId="5A56AED0">
      <w:pPr>
        <w:keepNext w:val="0"/>
        <w:keepLines w:val="0"/>
        <w:pageBreakBefore w:val="0"/>
        <w:kinsoku/>
        <w:topLinePunct w:val="0"/>
        <w:bidi w:val="0"/>
        <w:adjustRightInd w:val="0"/>
        <w:snapToGrid w:val="0"/>
        <w:spacing w:after="0" w:line="560" w:lineRule="exact"/>
        <w:ind w:firstLine="240" w:firstLineChars="100"/>
        <w:textAlignment w:val="auto"/>
        <w:outlineLvl w:val="1"/>
        <w:rPr>
          <w:rFonts w:hint="eastAsia" w:ascii="仿宋" w:hAnsi="仿宋" w:eastAsia="仿宋" w:cs="仿宋"/>
          <w:color w:val="auto"/>
          <w:sz w:val="24"/>
          <w:u w:val="single"/>
        </w:rPr>
      </w:pPr>
      <w:r>
        <w:rPr>
          <w:rFonts w:hint="eastAsia" w:ascii="仿宋" w:hAnsi="仿宋" w:eastAsia="仿宋" w:cs="仿宋"/>
          <w:color w:val="auto"/>
          <w:sz w:val="24"/>
        </w:rPr>
        <w:t>2.坐落位置：</w:t>
      </w:r>
      <w:r>
        <w:rPr>
          <w:rFonts w:hint="eastAsia" w:ascii="仿宋" w:hAnsi="仿宋" w:eastAsia="仿宋" w:cs="仿宋"/>
          <w:color w:val="auto"/>
          <w:spacing w:val="0"/>
          <w:position w:val="0"/>
          <w:sz w:val="24"/>
          <w:u w:val="single"/>
          <w:shd w:val="clear" w:color="auto" w:fill="auto"/>
        </w:rPr>
        <w:t>石牌东路87、89、91、93、95、97号首层</w:t>
      </w:r>
    </w:p>
    <w:p w14:paraId="76360713">
      <w:pPr>
        <w:keepNext w:val="0"/>
        <w:keepLines w:val="0"/>
        <w:pageBreakBefore w:val="0"/>
        <w:kinsoku/>
        <w:topLinePunct w:val="0"/>
        <w:bidi w:val="0"/>
        <w:adjustRightInd w:val="0"/>
        <w:snapToGrid w:val="0"/>
        <w:spacing w:after="0" w:line="560" w:lineRule="exact"/>
        <w:ind w:firstLine="240" w:firstLineChars="100"/>
        <w:textAlignment w:val="auto"/>
        <w:outlineLvl w:val="1"/>
        <w:rPr>
          <w:rFonts w:hint="eastAsia" w:ascii="仿宋" w:hAnsi="仿宋" w:eastAsia="仿宋" w:cs="仿宋"/>
          <w:color w:val="auto"/>
          <w:sz w:val="24"/>
          <w:u w:val="single"/>
        </w:rPr>
      </w:pPr>
      <w:r>
        <w:rPr>
          <w:rFonts w:hint="eastAsia" w:ascii="仿宋" w:hAnsi="仿宋" w:eastAsia="仿宋" w:cs="仿宋"/>
          <w:color w:val="auto"/>
          <w:sz w:val="24"/>
        </w:rPr>
        <w:t>3.资产面积：</w:t>
      </w:r>
      <w:r>
        <w:rPr>
          <w:rFonts w:hint="eastAsia" w:ascii="仿宋" w:hAnsi="仿宋" w:eastAsia="仿宋" w:cs="仿宋"/>
          <w:sz w:val="24"/>
          <w:u w:val="single"/>
        </w:rPr>
        <w:t>详见附表</w:t>
      </w:r>
    </w:p>
    <w:p w14:paraId="0D4968D6">
      <w:pPr>
        <w:keepNext w:val="0"/>
        <w:keepLines w:val="0"/>
        <w:pageBreakBefore w:val="0"/>
        <w:kinsoku/>
        <w:topLinePunct w:val="0"/>
        <w:bidi w:val="0"/>
        <w:adjustRightInd w:val="0"/>
        <w:snapToGrid w:val="0"/>
        <w:spacing w:after="0" w:line="560" w:lineRule="exact"/>
        <w:ind w:firstLine="240" w:firstLineChars="100"/>
        <w:textAlignment w:val="auto"/>
        <w:outlineLvl w:val="1"/>
        <w:rPr>
          <w:rFonts w:hint="eastAsia" w:ascii="仿宋" w:hAnsi="仿宋" w:eastAsia="仿宋" w:cs="仿宋"/>
          <w:b/>
          <w:color w:val="auto"/>
          <w:sz w:val="24"/>
        </w:rPr>
      </w:pPr>
      <w:r>
        <w:rPr>
          <w:rFonts w:hint="eastAsia" w:ascii="仿宋" w:hAnsi="仿宋" w:eastAsia="仿宋" w:cs="仿宋"/>
          <w:color w:val="auto"/>
          <w:sz w:val="24"/>
        </w:rPr>
        <w:t>4.资产用途：</w:t>
      </w:r>
      <w:r>
        <w:rPr>
          <w:rFonts w:hint="eastAsia" w:ascii="仿宋" w:hAnsi="仿宋" w:eastAsia="仿宋" w:cs="仿宋"/>
          <w:color w:val="auto"/>
          <w:spacing w:val="0"/>
          <w:position w:val="0"/>
          <w:sz w:val="24"/>
          <w:u w:val="single"/>
          <w:shd w:val="clear" w:color="auto" w:fill="auto"/>
        </w:rPr>
        <w:t>商业</w:t>
      </w:r>
    </w:p>
    <w:p w14:paraId="188822A4">
      <w:pPr>
        <w:keepNext w:val="0"/>
        <w:keepLines w:val="0"/>
        <w:pageBreakBefore w:val="0"/>
        <w:widowControl/>
        <w:kinsoku/>
        <w:overflowPunct/>
        <w:topLinePunct w:val="0"/>
        <w:autoSpaceDE/>
        <w:autoSpaceDN/>
        <w:bidi w:val="0"/>
        <w:adjustRightInd w:val="0"/>
        <w:snapToGrid w:val="0"/>
        <w:spacing w:after="0" w:line="560" w:lineRule="exact"/>
        <w:ind w:firstLine="240" w:firstLineChars="100"/>
        <w:textAlignment w:val="auto"/>
        <w:outlineLvl w:val="1"/>
        <w:rPr>
          <w:rFonts w:hint="eastAsia" w:ascii="仿宋" w:hAnsi="仿宋" w:eastAsia="仿宋" w:cs="仿宋"/>
          <w:color w:val="auto"/>
          <w:sz w:val="24"/>
          <w:u w:val="single"/>
        </w:rPr>
      </w:pPr>
      <w:r>
        <w:rPr>
          <w:rFonts w:hint="eastAsia" w:ascii="仿宋" w:hAnsi="仿宋" w:eastAsia="仿宋" w:cs="仿宋"/>
          <w:color w:val="auto"/>
          <w:sz w:val="24"/>
        </w:rPr>
        <w:t>5.资产现状：</w:t>
      </w:r>
      <w:r>
        <w:rPr>
          <w:rFonts w:hint="eastAsia" w:ascii="仿宋" w:hAnsi="仿宋" w:eastAsia="仿宋" w:cs="仿宋"/>
          <w:sz w:val="24"/>
          <w:u w:val="single"/>
        </w:rPr>
        <w:t>闲置</w:t>
      </w:r>
    </w:p>
    <w:p w14:paraId="4E3B3041">
      <w:pPr>
        <w:keepNext w:val="0"/>
        <w:keepLines w:val="0"/>
        <w:pageBreakBefore w:val="0"/>
        <w:widowControl/>
        <w:kinsoku/>
        <w:wordWrap/>
        <w:overflowPunct/>
        <w:topLinePunct w:val="0"/>
        <w:autoSpaceDE/>
        <w:autoSpaceDN/>
        <w:bidi w:val="0"/>
        <w:adjustRightInd w:val="0"/>
        <w:snapToGrid w:val="0"/>
        <w:spacing w:after="0" w:line="560" w:lineRule="exact"/>
        <w:ind w:firstLine="240" w:firstLineChars="100"/>
        <w:textAlignment w:val="auto"/>
        <w:outlineLvl w:val="1"/>
        <w:rPr>
          <w:rFonts w:hint="eastAsia" w:ascii="仿宋" w:hAnsi="仿宋" w:eastAsia="仿宋" w:cs="仿宋"/>
          <w:color w:val="auto"/>
          <w:sz w:val="24"/>
        </w:rPr>
      </w:pPr>
      <w:r>
        <w:rPr>
          <w:rFonts w:hint="eastAsia" w:ascii="仿宋" w:hAnsi="仿宋" w:eastAsia="仿宋" w:cs="仿宋"/>
          <w:color w:val="auto"/>
          <w:sz w:val="24"/>
        </w:rPr>
        <w:t>6.产权现状：</w:t>
      </w:r>
      <w:r>
        <w:rPr>
          <w:rFonts w:hint="eastAsia" w:ascii="仿宋" w:hAnsi="仿宋" w:eastAsia="仿宋" w:cs="仿宋"/>
          <w:color w:val="auto"/>
          <w:spacing w:val="0"/>
          <w:position w:val="0"/>
          <w:sz w:val="24"/>
          <w:u w:val="single"/>
          <w:shd w:val="clear" w:color="auto" w:fill="auto"/>
        </w:rPr>
        <w:t>有产权证（广州市不动产权证）</w:t>
      </w:r>
    </w:p>
    <w:p w14:paraId="7E61160A">
      <w:pPr>
        <w:keepNext w:val="0"/>
        <w:keepLines w:val="0"/>
        <w:pageBreakBefore w:val="0"/>
        <w:widowControl/>
        <w:kinsoku/>
        <w:wordWrap/>
        <w:overflowPunct/>
        <w:topLinePunct w:val="0"/>
        <w:autoSpaceDE/>
        <w:autoSpaceDN/>
        <w:bidi w:val="0"/>
        <w:adjustRightInd w:val="0"/>
        <w:spacing w:after="0" w:line="560" w:lineRule="exact"/>
        <w:ind w:firstLine="240" w:firstLineChars="100"/>
        <w:textAlignment w:val="auto"/>
        <w:rPr>
          <w:rFonts w:hint="eastAsia" w:ascii="仿宋" w:hAnsi="仿宋" w:eastAsia="仿宋" w:cs="仿宋"/>
          <w:color w:val="auto"/>
          <w:sz w:val="24"/>
        </w:rPr>
      </w:pPr>
      <w:r>
        <w:rPr>
          <w:rFonts w:hint="eastAsia" w:ascii="仿宋" w:hAnsi="仿宋" w:eastAsia="仿宋" w:cs="仿宋"/>
          <w:color w:val="auto"/>
          <w:sz w:val="24"/>
        </w:rPr>
        <w:t>（二）权属情况</w:t>
      </w:r>
    </w:p>
    <w:p w14:paraId="5B60C072">
      <w:pPr>
        <w:keepNext w:val="0"/>
        <w:keepLines w:val="0"/>
        <w:pageBreakBefore w:val="0"/>
        <w:widowControl/>
        <w:kinsoku/>
        <w:wordWrap/>
        <w:overflowPunct/>
        <w:topLinePunct w:val="0"/>
        <w:autoSpaceDE/>
        <w:autoSpaceDN/>
        <w:bidi w:val="0"/>
        <w:adjustRightInd w:val="0"/>
        <w:snapToGrid w:val="0"/>
        <w:spacing w:after="0" w:line="560" w:lineRule="exact"/>
        <w:ind w:left="438" w:leftChars="100" w:hanging="218" w:hangingChars="91"/>
        <w:textAlignment w:val="auto"/>
        <w:outlineLvl w:val="1"/>
        <w:rPr>
          <w:rFonts w:hint="eastAsia" w:ascii="仿宋" w:hAnsi="仿宋" w:eastAsia="仿宋" w:cs="仿宋"/>
          <w:sz w:val="24"/>
          <w:u w:val="single"/>
        </w:rPr>
      </w:pPr>
      <w:r>
        <w:rPr>
          <w:rFonts w:hint="eastAsia" w:ascii="仿宋" w:hAnsi="仿宋" w:eastAsia="仿宋" w:cs="仿宋"/>
          <w:color w:val="auto"/>
          <w:sz w:val="24"/>
        </w:rPr>
        <w:t>1.</w:t>
      </w:r>
      <w:r>
        <w:rPr>
          <w:rFonts w:hint="eastAsia" w:ascii="仿宋" w:hAnsi="仿宋" w:eastAsia="仿宋" w:cs="仿宋"/>
          <w:sz w:val="24"/>
        </w:rPr>
        <w:t>土地所有权人(或有效证明材料编号)：</w:t>
      </w:r>
      <w:r>
        <w:rPr>
          <w:rFonts w:hint="eastAsia" w:ascii="仿宋" w:hAnsi="仿宋" w:eastAsia="仿宋" w:cs="仿宋"/>
          <w:sz w:val="24"/>
          <w:u w:val="single"/>
        </w:rPr>
        <w:t>广东省广州市天河区石牌街石牌股份合作经济联社</w:t>
      </w:r>
    </w:p>
    <w:p w14:paraId="64FCCE1B">
      <w:pPr>
        <w:keepNext w:val="0"/>
        <w:keepLines w:val="0"/>
        <w:pageBreakBefore w:val="0"/>
        <w:widowControl/>
        <w:kinsoku/>
        <w:wordWrap/>
        <w:overflowPunct/>
        <w:topLinePunct w:val="0"/>
        <w:autoSpaceDE/>
        <w:autoSpaceDN/>
        <w:bidi w:val="0"/>
        <w:adjustRightInd w:val="0"/>
        <w:snapToGrid w:val="0"/>
        <w:spacing w:after="0" w:line="560" w:lineRule="exact"/>
        <w:ind w:left="438" w:leftChars="100" w:hanging="218" w:hangingChars="91"/>
        <w:textAlignment w:val="auto"/>
        <w:outlineLvl w:val="1"/>
        <w:rPr>
          <w:rFonts w:hint="eastAsia" w:ascii="仿宋" w:hAnsi="仿宋" w:eastAsia="仿宋" w:cs="仿宋"/>
          <w:sz w:val="24"/>
          <w:u w:val="single"/>
        </w:rPr>
      </w:pPr>
      <w:r>
        <w:rPr>
          <w:rFonts w:hint="eastAsia" w:ascii="仿宋" w:hAnsi="仿宋" w:eastAsia="仿宋" w:cs="仿宋"/>
          <w:sz w:val="24"/>
        </w:rPr>
        <w:t>2.土地所有权证号(或其他权属有效证明材料编号)：</w:t>
      </w:r>
      <w:r>
        <w:rPr>
          <w:rFonts w:hint="eastAsia" w:ascii="仿宋" w:hAnsi="仿宋" w:eastAsia="仿宋" w:cs="仿宋"/>
          <w:sz w:val="24"/>
          <w:u w:val="single"/>
        </w:rPr>
        <w:t>粤（2019）广州市不动产权第02220297号</w:t>
      </w:r>
    </w:p>
    <w:p w14:paraId="349C91B1">
      <w:pPr>
        <w:keepNext w:val="0"/>
        <w:keepLines w:val="0"/>
        <w:pageBreakBefore w:val="0"/>
        <w:widowControl/>
        <w:numPr>
          <w:ilvl w:val="0"/>
          <w:numId w:val="3"/>
        </w:numPr>
        <w:kinsoku/>
        <w:wordWrap/>
        <w:overflowPunct/>
        <w:topLinePunct w:val="0"/>
        <w:autoSpaceDE/>
        <w:autoSpaceDN/>
        <w:bidi w:val="0"/>
        <w:adjustRightInd w:val="0"/>
        <w:spacing w:after="0" w:line="560" w:lineRule="exact"/>
        <w:ind w:firstLine="240" w:firstLineChars="100"/>
        <w:textAlignment w:val="auto"/>
        <w:rPr>
          <w:rFonts w:hint="eastAsia" w:ascii="仿宋" w:hAnsi="仿宋" w:eastAsia="仿宋" w:cs="仿宋"/>
          <w:sz w:val="24"/>
          <w:u w:val="single"/>
        </w:rPr>
      </w:pPr>
      <w:r>
        <w:rPr>
          <w:rFonts w:hint="eastAsia" w:ascii="仿宋" w:hAnsi="仿宋" w:eastAsia="仿宋" w:cs="仿宋"/>
          <w:sz w:val="24"/>
        </w:rPr>
        <w:t>土地使用权人：</w:t>
      </w:r>
      <w:r>
        <w:rPr>
          <w:rFonts w:hint="eastAsia" w:ascii="仿宋" w:hAnsi="仿宋" w:eastAsia="仿宋" w:cs="仿宋"/>
          <w:sz w:val="24"/>
          <w:u w:val="single"/>
        </w:rPr>
        <w:t>广州市天河区石牌三骏企业集团有限公司</w:t>
      </w:r>
    </w:p>
    <w:p w14:paraId="7940A156">
      <w:pPr>
        <w:keepNext w:val="0"/>
        <w:keepLines w:val="0"/>
        <w:pageBreakBefore w:val="0"/>
        <w:widowControl/>
        <w:kinsoku/>
        <w:wordWrap/>
        <w:overflowPunct/>
        <w:topLinePunct w:val="0"/>
        <w:autoSpaceDE/>
        <w:autoSpaceDN/>
        <w:bidi w:val="0"/>
        <w:adjustRightInd w:val="0"/>
        <w:spacing w:after="0" w:line="560" w:lineRule="exact"/>
        <w:ind w:left="480" w:hanging="480" w:hangingChars="200"/>
        <w:textAlignment w:val="auto"/>
        <w:rPr>
          <w:rFonts w:hint="eastAsia" w:ascii="仿宋" w:hAnsi="仿宋" w:eastAsia="仿宋" w:cs="仿宋"/>
          <w:sz w:val="24"/>
        </w:rPr>
      </w:pPr>
      <w:r>
        <w:rPr>
          <w:rFonts w:hint="eastAsia" w:ascii="仿宋" w:hAnsi="仿宋" w:eastAsia="仿宋" w:cs="仿宋"/>
          <w:sz w:val="24"/>
        </w:rPr>
        <w:t xml:space="preserve">  4.土地使用权证号(或其他权属有效证明材料编号)：</w:t>
      </w:r>
      <w:r>
        <w:rPr>
          <w:rFonts w:hint="eastAsia" w:ascii="仿宋" w:hAnsi="仿宋" w:eastAsia="仿宋" w:cs="仿宋"/>
          <w:sz w:val="24"/>
          <w:u w:val="single"/>
        </w:rPr>
        <w:t>粤（2019）广州市不动产权第02220297号</w:t>
      </w:r>
    </w:p>
    <w:p w14:paraId="7CD89D50">
      <w:pPr>
        <w:keepNext w:val="0"/>
        <w:keepLines w:val="0"/>
        <w:pageBreakBefore w:val="0"/>
        <w:widowControl/>
        <w:kinsoku/>
        <w:wordWrap/>
        <w:overflowPunct/>
        <w:topLinePunct w:val="0"/>
        <w:autoSpaceDE/>
        <w:autoSpaceDN/>
        <w:bidi w:val="0"/>
        <w:adjustRightInd w:val="0"/>
        <w:spacing w:after="0" w:line="560" w:lineRule="exact"/>
        <w:ind w:firstLine="240" w:firstLineChars="100"/>
        <w:textAlignment w:val="auto"/>
        <w:rPr>
          <w:rFonts w:hint="eastAsia" w:ascii="仿宋" w:hAnsi="仿宋" w:eastAsia="仿宋" w:cs="仿宋"/>
          <w:sz w:val="24"/>
          <w:lang w:val="en-US" w:eastAsia="zh-CN"/>
        </w:rPr>
      </w:pPr>
      <w:r>
        <w:rPr>
          <w:rFonts w:hint="eastAsia" w:ascii="仿宋" w:hAnsi="仿宋" w:eastAsia="仿宋" w:cs="仿宋"/>
          <w:sz w:val="24"/>
        </w:rPr>
        <w:t>5.地号：</w:t>
      </w:r>
      <w:r>
        <w:rPr>
          <w:rFonts w:hint="eastAsia" w:ascii="仿宋" w:hAnsi="仿宋" w:eastAsia="仿宋" w:cs="仿宋"/>
          <w:sz w:val="24"/>
          <w:u w:val="single"/>
        </w:rPr>
        <w:t xml:space="preserve">    /    </w:t>
      </w:r>
    </w:p>
    <w:p w14:paraId="07E1186A">
      <w:pPr>
        <w:keepNext w:val="0"/>
        <w:keepLines w:val="0"/>
        <w:pageBreakBefore w:val="0"/>
        <w:widowControl/>
        <w:kinsoku/>
        <w:wordWrap/>
        <w:overflowPunct/>
        <w:topLinePunct w:val="0"/>
        <w:autoSpaceDE/>
        <w:autoSpaceDN/>
        <w:bidi w:val="0"/>
        <w:adjustRightInd w:val="0"/>
        <w:spacing w:after="0" w:line="560" w:lineRule="exact"/>
        <w:ind w:left="438" w:leftChars="100" w:hanging="218" w:hangingChars="91"/>
        <w:textAlignment w:val="auto"/>
        <w:rPr>
          <w:rFonts w:hint="eastAsia" w:ascii="仿宋" w:hAnsi="仿宋" w:eastAsia="仿宋" w:cs="仿宋"/>
          <w:sz w:val="24"/>
          <w:u w:val="single"/>
        </w:rPr>
      </w:pPr>
      <w:r>
        <w:rPr>
          <w:rFonts w:hint="eastAsia" w:ascii="仿宋" w:hAnsi="仿宋" w:eastAsia="仿宋" w:cs="仿宋"/>
          <w:sz w:val="24"/>
        </w:rPr>
        <w:t>6.房产所有权人：</w:t>
      </w:r>
      <w:r>
        <w:rPr>
          <w:rFonts w:hint="eastAsia" w:ascii="仿宋" w:hAnsi="仿宋" w:eastAsia="仿宋" w:cs="仿宋"/>
          <w:sz w:val="24"/>
          <w:u w:val="single"/>
        </w:rPr>
        <w:t>广东省广州市天河区石牌街石牌股份合作经济联社</w:t>
      </w:r>
    </w:p>
    <w:p w14:paraId="4A902B5E">
      <w:pPr>
        <w:keepNext w:val="0"/>
        <w:keepLines w:val="0"/>
        <w:pageBreakBefore w:val="0"/>
        <w:widowControl/>
        <w:kinsoku/>
        <w:wordWrap/>
        <w:overflowPunct/>
        <w:topLinePunct w:val="0"/>
        <w:autoSpaceDE/>
        <w:autoSpaceDN/>
        <w:bidi w:val="0"/>
        <w:adjustRightInd w:val="0"/>
        <w:spacing w:after="0" w:line="560" w:lineRule="exact"/>
        <w:ind w:left="480" w:hanging="480" w:hangingChars="200"/>
        <w:textAlignment w:val="auto"/>
        <w:rPr>
          <w:rFonts w:hint="eastAsia" w:ascii="仿宋" w:hAnsi="仿宋" w:eastAsia="仿宋" w:cs="仿宋"/>
          <w:sz w:val="24"/>
        </w:rPr>
      </w:pPr>
      <w:r>
        <w:rPr>
          <w:rFonts w:hint="eastAsia" w:ascii="仿宋" w:hAnsi="仿宋" w:eastAsia="仿宋" w:cs="仿宋"/>
          <w:sz w:val="24"/>
        </w:rPr>
        <w:t xml:space="preserve">  7.房产所有权证号(或其他权属有效证明材料编号)：</w:t>
      </w:r>
      <w:r>
        <w:rPr>
          <w:rFonts w:hint="eastAsia" w:ascii="仿宋" w:hAnsi="仿宋" w:eastAsia="仿宋" w:cs="仿宋"/>
          <w:sz w:val="24"/>
          <w:u w:val="single"/>
        </w:rPr>
        <w:t>粤（2019）广州市不动产权第02220297号</w:t>
      </w:r>
    </w:p>
    <w:p w14:paraId="08797BE7">
      <w:pPr>
        <w:keepNext w:val="0"/>
        <w:keepLines w:val="0"/>
        <w:pageBreakBefore w:val="0"/>
        <w:widowControl/>
        <w:kinsoku/>
        <w:overflowPunct/>
        <w:topLinePunct w:val="0"/>
        <w:autoSpaceDE/>
        <w:autoSpaceDN/>
        <w:bidi w:val="0"/>
        <w:adjustRightInd w:val="0"/>
        <w:snapToGrid w:val="0"/>
        <w:spacing w:after="0" w:line="560" w:lineRule="exact"/>
        <w:textAlignment w:val="auto"/>
        <w:outlineLvl w:val="1"/>
        <w:rPr>
          <w:rFonts w:hint="eastAsia" w:ascii="仿宋" w:hAnsi="仿宋" w:eastAsia="仿宋" w:cs="仿宋"/>
          <w:sz w:val="24"/>
        </w:rPr>
      </w:pPr>
      <w:r>
        <w:rPr>
          <w:rFonts w:hint="eastAsia" w:ascii="仿宋" w:hAnsi="仿宋" w:eastAsia="仿宋" w:cs="仿宋"/>
          <w:sz w:val="24"/>
        </w:rPr>
        <w:t>（三）抵押情况</w:t>
      </w:r>
    </w:p>
    <w:p w14:paraId="6D69DDDA">
      <w:pPr>
        <w:keepNext w:val="0"/>
        <w:keepLines w:val="0"/>
        <w:pageBreakBefore w:val="0"/>
        <w:widowControl/>
        <w:kinsoku/>
        <w:overflowPunct/>
        <w:topLinePunct w:val="0"/>
        <w:autoSpaceDE/>
        <w:autoSpaceDN/>
        <w:bidi w:val="0"/>
        <w:adjustRightInd w:val="0"/>
        <w:spacing w:after="0" w:line="560" w:lineRule="exact"/>
        <w:ind w:firstLine="240" w:firstLineChars="100"/>
        <w:textAlignment w:val="auto"/>
        <w:rPr>
          <w:rFonts w:hint="eastAsia" w:ascii="仿宋" w:hAnsi="仿宋" w:eastAsia="仿宋" w:cs="仿宋"/>
          <w:sz w:val="24"/>
        </w:rPr>
      </w:pPr>
      <w:r>
        <w:rPr>
          <w:rFonts w:hint="eastAsia" w:ascii="仿宋" w:hAnsi="仿宋" w:eastAsia="仿宋" w:cs="仿宋"/>
          <w:sz w:val="24"/>
        </w:rPr>
        <w:t>1.抵押权人：</w:t>
      </w:r>
      <w:r>
        <w:rPr>
          <w:rFonts w:hint="eastAsia" w:ascii="仿宋" w:hAnsi="仿宋" w:eastAsia="仿宋" w:cs="仿宋"/>
          <w:sz w:val="24"/>
          <w:u w:val="single"/>
        </w:rPr>
        <w:t xml:space="preserve">    /    </w:t>
      </w:r>
    </w:p>
    <w:p w14:paraId="31A66432">
      <w:pPr>
        <w:keepNext w:val="0"/>
        <w:keepLines w:val="0"/>
        <w:pageBreakBefore w:val="0"/>
        <w:widowControl/>
        <w:kinsoku/>
        <w:overflowPunct/>
        <w:topLinePunct w:val="0"/>
        <w:autoSpaceDE/>
        <w:autoSpaceDN/>
        <w:bidi w:val="0"/>
        <w:adjustRightInd w:val="0"/>
        <w:spacing w:after="0" w:line="560" w:lineRule="exact"/>
        <w:ind w:firstLine="240" w:firstLineChars="100"/>
        <w:textAlignment w:val="auto"/>
        <w:rPr>
          <w:rFonts w:hint="eastAsia" w:ascii="仿宋" w:hAnsi="仿宋" w:eastAsia="仿宋" w:cs="仿宋"/>
          <w:sz w:val="24"/>
        </w:rPr>
      </w:pPr>
      <w:r>
        <w:rPr>
          <w:rFonts w:hint="eastAsia" w:ascii="仿宋" w:hAnsi="仿宋" w:eastAsia="仿宋" w:cs="仿宋"/>
          <w:sz w:val="24"/>
        </w:rPr>
        <w:t>2.他项权证号：</w:t>
      </w:r>
      <w:r>
        <w:rPr>
          <w:rFonts w:hint="eastAsia" w:ascii="仿宋" w:hAnsi="仿宋" w:eastAsia="仿宋" w:cs="仿宋"/>
          <w:sz w:val="24"/>
          <w:u w:val="single"/>
        </w:rPr>
        <w:t xml:space="preserve">    /    </w:t>
      </w:r>
    </w:p>
    <w:p w14:paraId="2F2D53E1">
      <w:pPr>
        <w:keepNext w:val="0"/>
        <w:keepLines w:val="0"/>
        <w:pageBreakBefore w:val="0"/>
        <w:widowControl/>
        <w:kinsoku/>
        <w:overflowPunct/>
        <w:topLinePunct w:val="0"/>
        <w:autoSpaceDE/>
        <w:autoSpaceDN/>
        <w:bidi w:val="0"/>
        <w:adjustRightInd w:val="0"/>
        <w:spacing w:after="0" w:line="560" w:lineRule="exact"/>
        <w:ind w:firstLine="240" w:firstLineChars="100"/>
        <w:textAlignment w:val="auto"/>
        <w:rPr>
          <w:rFonts w:hint="eastAsia" w:ascii="仿宋" w:hAnsi="仿宋" w:eastAsia="仿宋" w:cs="仿宋"/>
          <w:sz w:val="24"/>
        </w:rPr>
      </w:pPr>
      <w:r>
        <w:rPr>
          <w:rFonts w:hint="eastAsia" w:ascii="仿宋" w:hAnsi="仿宋" w:eastAsia="仿宋" w:cs="仿宋"/>
          <w:sz w:val="24"/>
        </w:rPr>
        <w:t>3.抵押期限：从</w:t>
      </w:r>
      <w:r>
        <w:rPr>
          <w:rFonts w:hint="eastAsia" w:ascii="仿宋" w:hAnsi="仿宋" w:eastAsia="仿宋" w:cs="仿宋"/>
          <w:sz w:val="24"/>
          <w:u w:val="single"/>
        </w:rPr>
        <w:t xml:space="preserve"> / </w:t>
      </w:r>
      <w:r>
        <w:rPr>
          <w:rFonts w:hint="eastAsia" w:ascii="仿宋" w:hAnsi="仿宋" w:eastAsia="仿宋" w:cs="仿宋"/>
          <w:sz w:val="24"/>
        </w:rPr>
        <w:t>年</w:t>
      </w:r>
      <w:r>
        <w:rPr>
          <w:rFonts w:hint="eastAsia" w:ascii="仿宋" w:hAnsi="仿宋" w:eastAsia="仿宋" w:cs="仿宋"/>
          <w:sz w:val="24"/>
          <w:u w:val="single"/>
        </w:rPr>
        <w:t xml:space="preserve"> / </w:t>
      </w:r>
      <w:r>
        <w:rPr>
          <w:rFonts w:hint="eastAsia" w:ascii="仿宋" w:hAnsi="仿宋" w:eastAsia="仿宋" w:cs="仿宋"/>
          <w:sz w:val="24"/>
        </w:rPr>
        <w:t>月</w:t>
      </w:r>
      <w:r>
        <w:rPr>
          <w:rFonts w:hint="eastAsia" w:ascii="仿宋" w:hAnsi="仿宋" w:eastAsia="仿宋" w:cs="仿宋"/>
          <w:sz w:val="24"/>
          <w:u w:val="single"/>
        </w:rPr>
        <w:t xml:space="preserve">  /  </w:t>
      </w:r>
      <w:r>
        <w:rPr>
          <w:rFonts w:hint="eastAsia" w:ascii="仿宋" w:hAnsi="仿宋" w:eastAsia="仿宋" w:cs="仿宋"/>
          <w:sz w:val="24"/>
        </w:rPr>
        <w:t xml:space="preserve">日至 </w:t>
      </w:r>
      <w:r>
        <w:rPr>
          <w:rFonts w:hint="eastAsia" w:ascii="仿宋" w:hAnsi="仿宋" w:eastAsia="仿宋" w:cs="仿宋"/>
          <w:sz w:val="24"/>
          <w:u w:val="single"/>
        </w:rPr>
        <w:t xml:space="preserve">  /  </w:t>
      </w:r>
      <w:r>
        <w:rPr>
          <w:rFonts w:hint="eastAsia" w:ascii="仿宋" w:hAnsi="仿宋" w:eastAsia="仿宋" w:cs="仿宋"/>
          <w:sz w:val="24"/>
        </w:rPr>
        <w:t>年</w:t>
      </w:r>
      <w:r>
        <w:rPr>
          <w:rFonts w:hint="eastAsia" w:ascii="仿宋" w:hAnsi="仿宋" w:eastAsia="仿宋" w:cs="仿宋"/>
          <w:sz w:val="24"/>
          <w:u w:val="single"/>
        </w:rPr>
        <w:t xml:space="preserve">  / </w:t>
      </w:r>
      <w:r>
        <w:rPr>
          <w:rFonts w:hint="eastAsia" w:ascii="仿宋" w:hAnsi="仿宋" w:eastAsia="仿宋" w:cs="仿宋"/>
          <w:sz w:val="24"/>
        </w:rPr>
        <w:t>月</w:t>
      </w:r>
      <w:r>
        <w:rPr>
          <w:rFonts w:hint="eastAsia" w:ascii="仿宋" w:hAnsi="仿宋" w:eastAsia="仿宋" w:cs="仿宋"/>
          <w:sz w:val="24"/>
          <w:u w:val="single"/>
        </w:rPr>
        <w:t xml:space="preserve">  /  </w:t>
      </w:r>
      <w:r>
        <w:rPr>
          <w:rFonts w:hint="eastAsia" w:ascii="仿宋" w:hAnsi="仿宋" w:eastAsia="仿宋" w:cs="仿宋"/>
          <w:sz w:val="24"/>
        </w:rPr>
        <w:t>日。</w:t>
      </w:r>
    </w:p>
    <w:p w14:paraId="06A629C6">
      <w:pPr>
        <w:keepNext w:val="0"/>
        <w:keepLines w:val="0"/>
        <w:pageBreakBefore w:val="0"/>
        <w:widowControl/>
        <w:kinsoku/>
        <w:wordWrap w:val="0"/>
        <w:overflowPunct/>
        <w:topLinePunct w:val="0"/>
        <w:autoSpaceDE/>
        <w:autoSpaceDN/>
        <w:bidi w:val="0"/>
        <w:adjustRightInd w:val="0"/>
        <w:spacing w:after="0" w:line="560" w:lineRule="exact"/>
        <w:ind w:firstLine="240" w:firstLineChars="100"/>
        <w:textAlignment w:val="auto"/>
        <w:rPr>
          <w:rFonts w:hint="eastAsia" w:ascii="仿宋" w:hAnsi="仿宋" w:eastAsia="仿宋" w:cs="仿宋"/>
          <w:color w:val="auto"/>
          <w:sz w:val="24"/>
          <w:u w:val="single"/>
        </w:rPr>
      </w:pPr>
      <w:r>
        <w:rPr>
          <w:rFonts w:hint="eastAsia" w:ascii="仿宋" w:hAnsi="仿宋" w:eastAsia="仿宋" w:cs="仿宋"/>
          <w:sz w:val="24"/>
        </w:rPr>
        <w:t>（四）消防情况：</w:t>
      </w:r>
      <w:r>
        <w:rPr>
          <w:rFonts w:hint="eastAsia" w:ascii="仿宋" w:hAnsi="仿宋" w:eastAsia="仿宋" w:cs="仿宋"/>
          <w:sz w:val="24"/>
          <w:u w:val="single"/>
        </w:rPr>
        <w:t>未办理消防手续及相关证照</w:t>
      </w:r>
      <w:bookmarkStart w:id="5" w:name="_Toc391912293"/>
      <w:bookmarkStart w:id="6" w:name="_Toc391912316"/>
    </w:p>
    <w:p w14:paraId="0B6AEBFE">
      <w:pPr>
        <w:keepNext w:val="0"/>
        <w:keepLines w:val="0"/>
        <w:pageBreakBefore w:val="0"/>
        <w:kinsoku/>
        <w:topLinePunct w:val="0"/>
        <w:bidi w:val="0"/>
        <w:adjustRightInd w:val="0"/>
        <w:snapToGrid w:val="0"/>
        <w:spacing w:after="0" w:line="560" w:lineRule="exact"/>
        <w:textAlignment w:val="auto"/>
        <w:outlineLvl w:val="1"/>
        <w:rPr>
          <w:rFonts w:hint="eastAsia" w:ascii="仿宋" w:hAnsi="仿宋" w:eastAsia="仿宋" w:cs="仿宋"/>
          <w:b/>
          <w:color w:val="auto"/>
          <w:sz w:val="24"/>
        </w:rPr>
      </w:pPr>
      <w:r>
        <w:rPr>
          <w:rFonts w:hint="eastAsia" w:ascii="仿宋" w:hAnsi="仿宋" w:eastAsia="仿宋" w:cs="仿宋"/>
          <w:b/>
          <w:color w:val="auto"/>
          <w:sz w:val="24"/>
        </w:rPr>
        <w:t>三、租赁/承包要求</w:t>
      </w:r>
      <w:bookmarkEnd w:id="5"/>
      <w:bookmarkEnd w:id="6"/>
    </w:p>
    <w:p w14:paraId="47A38371">
      <w:pPr>
        <w:keepNext w:val="0"/>
        <w:keepLines w:val="0"/>
        <w:pageBreakBefore w:val="0"/>
        <w:kinsoku/>
        <w:topLinePunct w:val="0"/>
        <w:bidi w:val="0"/>
        <w:adjustRightInd w:val="0"/>
        <w:spacing w:after="0" w:line="560" w:lineRule="exact"/>
        <w:ind w:firstLine="240" w:firstLineChars="100"/>
        <w:textAlignment w:val="auto"/>
        <w:rPr>
          <w:rFonts w:hint="eastAsia" w:ascii="仿宋" w:hAnsi="仿宋" w:eastAsia="仿宋" w:cs="仿宋"/>
          <w:color w:val="auto"/>
          <w:sz w:val="24"/>
          <w:szCs w:val="24"/>
        </w:rPr>
      </w:pPr>
      <w:r>
        <w:rPr>
          <w:rFonts w:hint="eastAsia" w:ascii="仿宋" w:hAnsi="仿宋" w:eastAsia="仿宋" w:cs="仿宋"/>
          <w:color w:val="auto"/>
          <w:sz w:val="24"/>
        </w:rPr>
        <w:t>（一）资产交付时间</w:t>
      </w:r>
      <w:r>
        <w:rPr>
          <w:rFonts w:hint="eastAsia" w:ascii="仿宋" w:hAnsi="仿宋" w:eastAsia="仿宋" w:cs="仿宋"/>
          <w:color w:val="auto"/>
          <w:spacing w:val="0"/>
          <w:sz w:val="24"/>
        </w:rPr>
        <w:t>：</w:t>
      </w:r>
      <w:r>
        <w:rPr>
          <w:rFonts w:hint="eastAsia" w:ascii="仿宋" w:hAnsi="仿宋" w:eastAsia="仿宋" w:cs="仿宋"/>
          <w:spacing w:val="0"/>
          <w:sz w:val="24"/>
          <w:szCs w:val="24"/>
          <w:u w:val="single"/>
        </w:rPr>
        <w:t>合同签订日</w:t>
      </w:r>
    </w:p>
    <w:p w14:paraId="6BA91216">
      <w:pPr>
        <w:keepNext w:val="0"/>
        <w:keepLines w:val="0"/>
        <w:pageBreakBefore w:val="0"/>
        <w:kinsoku/>
        <w:topLinePunct w:val="0"/>
        <w:bidi w:val="0"/>
        <w:adjustRightInd w:val="0"/>
        <w:spacing w:after="0" w:line="560" w:lineRule="exact"/>
        <w:ind w:firstLine="240" w:firstLineChars="100"/>
        <w:textAlignment w:val="auto"/>
        <w:rPr>
          <w:rFonts w:hint="eastAsia" w:ascii="仿宋" w:hAnsi="仿宋" w:eastAsia="仿宋" w:cs="仿宋"/>
          <w:color w:val="auto"/>
          <w:sz w:val="24"/>
        </w:rPr>
      </w:pPr>
      <w:r>
        <w:rPr>
          <w:rFonts w:hint="eastAsia" w:ascii="仿宋" w:hAnsi="仿宋" w:eastAsia="仿宋" w:cs="仿宋"/>
          <w:color w:val="auto"/>
          <w:sz w:val="24"/>
        </w:rPr>
        <w:t>（二）租赁/承包期限为</w:t>
      </w:r>
      <w:r>
        <w:rPr>
          <w:rFonts w:hint="eastAsia" w:ascii="仿宋" w:hAnsi="仿宋" w:eastAsia="仿宋" w:cs="仿宋"/>
          <w:sz w:val="24"/>
        </w:rPr>
        <w:t>：</w:t>
      </w:r>
      <w:r>
        <w:rPr>
          <w:rFonts w:hint="eastAsia" w:ascii="仿宋" w:hAnsi="仿宋" w:eastAsia="仿宋" w:cs="仿宋"/>
          <w:color w:val="auto"/>
          <w:spacing w:val="0"/>
          <w:position w:val="0"/>
          <w:sz w:val="24"/>
          <w:u w:val="single"/>
          <w:shd w:val="clear" w:color="auto" w:fill="auto"/>
          <w:lang w:val="en-US" w:eastAsia="zh-CN"/>
        </w:rPr>
        <w:t xml:space="preserve">            </w:t>
      </w:r>
      <w:r>
        <w:rPr>
          <w:rFonts w:hint="eastAsia" w:ascii="仿宋" w:hAnsi="仿宋" w:eastAsia="仿宋" w:cs="仿宋"/>
          <w:color w:val="auto"/>
          <w:sz w:val="24"/>
        </w:rPr>
        <w:t>，即从</w:t>
      </w:r>
      <w:r>
        <w:rPr>
          <w:rFonts w:ascii="仿宋" w:hAnsi="仿宋" w:eastAsia="仿宋" w:cs="仿宋"/>
          <w:color w:val="auto"/>
          <w:spacing w:val="0"/>
          <w:position w:val="0"/>
          <w:sz w:val="24"/>
          <w:u w:val="single"/>
          <w:shd w:val="clear" w:color="auto" w:fill="auto"/>
        </w:rPr>
        <w:t>2025-</w:t>
      </w:r>
      <w:r>
        <w:rPr>
          <w:rFonts w:hint="eastAsia" w:ascii="仿宋" w:hAnsi="仿宋" w:eastAsia="仿宋" w:cs="仿宋"/>
          <w:color w:val="auto"/>
          <w:spacing w:val="0"/>
          <w:position w:val="0"/>
          <w:sz w:val="24"/>
          <w:u w:val="single"/>
          <w:shd w:val="clear" w:color="auto" w:fill="auto"/>
          <w:lang w:val="en-US" w:eastAsia="zh-CN"/>
        </w:rPr>
        <w:t xml:space="preserve">  </w:t>
      </w:r>
      <w:r>
        <w:rPr>
          <w:rFonts w:ascii="仿宋" w:hAnsi="仿宋" w:eastAsia="仿宋" w:cs="仿宋"/>
          <w:color w:val="auto"/>
          <w:spacing w:val="0"/>
          <w:position w:val="0"/>
          <w:sz w:val="24"/>
          <w:u w:val="single"/>
          <w:shd w:val="clear" w:color="auto" w:fill="auto"/>
        </w:rPr>
        <w:t>-</w:t>
      </w:r>
      <w:r>
        <w:rPr>
          <w:rFonts w:hint="eastAsia" w:ascii="仿宋" w:hAnsi="仿宋" w:eastAsia="仿宋" w:cs="仿宋"/>
          <w:color w:val="auto"/>
          <w:spacing w:val="0"/>
          <w:position w:val="0"/>
          <w:sz w:val="24"/>
          <w:u w:val="single"/>
          <w:shd w:val="clear" w:color="auto" w:fill="auto"/>
          <w:lang w:val="en-US" w:eastAsia="zh-CN"/>
        </w:rPr>
        <w:t xml:space="preserve">   </w:t>
      </w:r>
      <w:r>
        <w:rPr>
          <w:rFonts w:hint="eastAsia" w:ascii="仿宋" w:hAnsi="仿宋" w:eastAsia="仿宋" w:cs="仿宋"/>
          <w:color w:val="auto"/>
          <w:sz w:val="24"/>
        </w:rPr>
        <w:t>至</w:t>
      </w:r>
      <w:r>
        <w:rPr>
          <w:rFonts w:ascii="仿宋" w:hAnsi="仿宋" w:eastAsia="仿宋" w:cs="仿宋"/>
          <w:color w:val="auto"/>
          <w:spacing w:val="0"/>
          <w:position w:val="0"/>
          <w:sz w:val="24"/>
          <w:u w:val="single"/>
          <w:shd w:val="clear" w:color="auto" w:fill="auto"/>
        </w:rPr>
        <w:t>2025-</w:t>
      </w:r>
      <w:r>
        <w:rPr>
          <w:rFonts w:hint="eastAsia" w:ascii="仿宋" w:hAnsi="仿宋" w:eastAsia="仿宋" w:cs="仿宋"/>
          <w:color w:val="auto"/>
          <w:spacing w:val="0"/>
          <w:position w:val="0"/>
          <w:sz w:val="24"/>
          <w:u w:val="single"/>
          <w:shd w:val="clear" w:color="auto" w:fill="auto"/>
          <w:lang w:val="en-US" w:eastAsia="zh-CN"/>
        </w:rPr>
        <w:t>12</w:t>
      </w:r>
      <w:r>
        <w:rPr>
          <w:rFonts w:ascii="仿宋" w:hAnsi="仿宋" w:eastAsia="仿宋" w:cs="仿宋"/>
          <w:color w:val="auto"/>
          <w:spacing w:val="0"/>
          <w:position w:val="0"/>
          <w:sz w:val="24"/>
          <w:u w:val="single"/>
          <w:shd w:val="clear" w:color="auto" w:fill="auto"/>
        </w:rPr>
        <w:t>-</w:t>
      </w:r>
      <w:r>
        <w:rPr>
          <w:rFonts w:hint="eastAsia" w:ascii="仿宋" w:hAnsi="仿宋" w:eastAsia="仿宋" w:cs="仿宋"/>
          <w:color w:val="auto"/>
          <w:spacing w:val="0"/>
          <w:position w:val="0"/>
          <w:sz w:val="24"/>
          <w:u w:val="single"/>
          <w:shd w:val="clear" w:color="auto" w:fill="auto"/>
          <w:lang w:val="en-US" w:eastAsia="zh-CN"/>
        </w:rPr>
        <w:t>31</w:t>
      </w:r>
      <w:r>
        <w:rPr>
          <w:rFonts w:hint="eastAsia" w:ascii="仿宋" w:hAnsi="仿宋" w:eastAsia="仿宋" w:cs="仿宋"/>
          <w:color w:val="auto"/>
          <w:sz w:val="24"/>
        </w:rPr>
        <w:t>止。</w:t>
      </w:r>
    </w:p>
    <w:p w14:paraId="4B223C0F">
      <w:pPr>
        <w:keepNext w:val="0"/>
        <w:keepLines w:val="0"/>
        <w:pageBreakBefore w:val="0"/>
        <w:kinsoku/>
        <w:topLinePunct w:val="0"/>
        <w:bidi w:val="0"/>
        <w:adjustRightInd w:val="0"/>
        <w:spacing w:after="0" w:line="560" w:lineRule="exact"/>
        <w:ind w:firstLine="240" w:firstLineChars="100"/>
        <w:textAlignment w:val="auto"/>
        <w:rPr>
          <w:rFonts w:hint="eastAsia" w:ascii="仿宋" w:hAnsi="仿宋" w:eastAsia="仿宋" w:cs="仿宋"/>
          <w:color w:val="auto"/>
          <w:sz w:val="24"/>
        </w:rPr>
      </w:pPr>
      <w:r>
        <w:rPr>
          <w:rFonts w:hint="eastAsia" w:ascii="仿宋" w:hAnsi="仿宋" w:eastAsia="仿宋" w:cs="仿宋"/>
          <w:color w:val="auto"/>
          <w:sz w:val="24"/>
        </w:rPr>
        <w:t>（三）免租期为</w:t>
      </w:r>
      <w:r>
        <w:rPr>
          <w:rFonts w:hint="eastAsia" w:ascii="仿宋" w:hAnsi="仿宋" w:eastAsia="仿宋" w:cs="仿宋"/>
          <w:sz w:val="24"/>
        </w:rPr>
        <w:t>：</w:t>
      </w:r>
      <w:r>
        <w:rPr>
          <w:rFonts w:hint="eastAsia" w:ascii="宋体" w:hAnsi="宋体" w:cs="仿宋"/>
          <w:sz w:val="24"/>
          <w:u w:val="single"/>
        </w:rPr>
        <w:t xml:space="preserve"> 无 </w:t>
      </w:r>
      <w:r>
        <w:rPr>
          <w:rFonts w:hint="eastAsia" w:ascii="仿宋" w:hAnsi="仿宋" w:eastAsia="仿宋" w:cs="仿宋"/>
          <w:color w:val="auto"/>
          <w:sz w:val="24"/>
        </w:rPr>
        <w:t>。</w:t>
      </w:r>
    </w:p>
    <w:p w14:paraId="5FE9B40A">
      <w:pPr>
        <w:keepNext w:val="0"/>
        <w:keepLines w:val="0"/>
        <w:pageBreakBefore w:val="0"/>
        <w:kinsoku/>
        <w:topLinePunct w:val="0"/>
        <w:bidi w:val="0"/>
        <w:adjustRightInd w:val="0"/>
        <w:spacing w:after="0" w:line="560" w:lineRule="exact"/>
        <w:ind w:firstLine="240" w:firstLineChars="100"/>
        <w:textAlignment w:val="auto"/>
        <w:rPr>
          <w:rFonts w:hint="eastAsia" w:ascii="仿宋" w:hAnsi="仿宋" w:eastAsia="仿宋" w:cs="仿宋"/>
          <w:color w:val="auto"/>
          <w:sz w:val="24"/>
        </w:rPr>
      </w:pPr>
      <w:r>
        <w:rPr>
          <w:rFonts w:hint="eastAsia" w:ascii="仿宋" w:hAnsi="仿宋" w:eastAsia="仿宋" w:cs="仿宋"/>
          <w:color w:val="auto"/>
          <w:sz w:val="24"/>
        </w:rPr>
        <w:t>（四）租金按</w:t>
      </w:r>
      <w:r>
        <w:rPr>
          <w:rFonts w:hint="eastAsia" w:ascii="仿宋" w:hAnsi="仿宋" w:eastAsia="仿宋" w:cs="仿宋"/>
          <w:color w:val="auto"/>
          <w:sz w:val="24"/>
          <w:u w:val="single"/>
          <w:lang w:val="en-US" w:eastAsia="zh-CN"/>
        </w:rPr>
        <w:t xml:space="preserve"> </w:t>
      </w:r>
      <w:r>
        <w:rPr>
          <w:rFonts w:hint="eastAsia" w:ascii="仿宋" w:hAnsi="仿宋" w:eastAsia="仿宋" w:cs="仿宋"/>
          <w:sz w:val="24"/>
          <w:u w:val="single"/>
        </w:rPr>
        <w:t>月</w:t>
      </w:r>
      <w:r>
        <w:rPr>
          <w:rFonts w:hint="eastAsia" w:ascii="仿宋" w:hAnsi="仿宋" w:eastAsia="仿宋" w:cs="仿宋"/>
          <w:sz w:val="24"/>
          <w:u w:val="single"/>
          <w:lang w:val="en-US" w:eastAsia="zh-CN"/>
        </w:rPr>
        <w:t xml:space="preserve"> </w:t>
      </w:r>
      <w:r>
        <w:rPr>
          <w:rFonts w:hint="eastAsia" w:ascii="仿宋" w:hAnsi="仿宋" w:eastAsia="仿宋" w:cs="仿宋"/>
          <w:color w:val="auto"/>
          <w:sz w:val="24"/>
        </w:rPr>
        <w:t>收取。</w:t>
      </w:r>
    </w:p>
    <w:p w14:paraId="22C4FB13">
      <w:pPr>
        <w:keepNext w:val="0"/>
        <w:keepLines w:val="0"/>
        <w:pageBreakBefore w:val="0"/>
        <w:kinsoku/>
        <w:topLinePunct w:val="0"/>
        <w:bidi w:val="0"/>
        <w:adjustRightInd w:val="0"/>
        <w:spacing w:after="0" w:line="5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1.租金总额由</w:t>
      </w:r>
      <w:r>
        <w:rPr>
          <w:rFonts w:hint="eastAsia" w:ascii="仿宋" w:hAnsi="仿宋" w:eastAsia="仿宋" w:cs="仿宋"/>
          <w:color w:val="auto"/>
          <w:sz w:val="24"/>
          <w:u w:val="single"/>
          <w:lang w:val="en-US" w:eastAsia="zh-CN"/>
        </w:rPr>
        <w:t xml:space="preserve"> </w:t>
      </w:r>
      <w:r>
        <w:rPr>
          <w:rFonts w:hint="eastAsia" w:ascii="仿宋" w:hAnsi="仿宋" w:eastAsia="仿宋" w:cs="仿宋"/>
          <w:sz w:val="24"/>
          <w:u w:val="single"/>
        </w:rPr>
        <w:t>租金</w:t>
      </w:r>
      <w:r>
        <w:rPr>
          <w:rFonts w:hint="eastAsia" w:ascii="仿宋" w:hAnsi="仿宋" w:eastAsia="仿宋" w:cs="仿宋"/>
          <w:sz w:val="24"/>
          <w:u w:val="single"/>
          <w:lang w:val="en-US" w:eastAsia="zh-CN"/>
        </w:rPr>
        <w:t xml:space="preserve"> </w:t>
      </w:r>
      <w:r>
        <w:rPr>
          <w:rFonts w:hint="eastAsia" w:ascii="仿宋" w:hAnsi="仿宋" w:eastAsia="仿宋" w:cs="仿宋"/>
          <w:color w:val="auto"/>
          <w:sz w:val="24"/>
        </w:rPr>
        <w:t>构成，共</w:t>
      </w:r>
      <w:r>
        <w:rPr>
          <w:rFonts w:hint="eastAsia" w:ascii="仿宋" w:hAnsi="仿宋" w:eastAsia="仿宋" w:cs="仿宋"/>
          <w:color w:val="auto"/>
          <w:sz w:val="24"/>
          <w:u w:val="single"/>
          <w:lang w:val="en-US" w:eastAsia="zh-CN"/>
        </w:rPr>
        <w:t xml:space="preserve"> </w:t>
      </w:r>
      <w:r>
        <w:rPr>
          <w:rFonts w:hint="eastAsia" w:ascii="仿宋" w:hAnsi="仿宋" w:eastAsia="仿宋" w:cs="仿宋"/>
          <w:sz w:val="24"/>
          <w:u w:val="single"/>
        </w:rPr>
        <w:t>详见附表</w:t>
      </w:r>
      <w:r>
        <w:rPr>
          <w:rFonts w:hint="eastAsia" w:ascii="仿宋" w:hAnsi="仿宋" w:eastAsia="仿宋" w:cs="仿宋"/>
          <w:sz w:val="24"/>
          <w:u w:val="single"/>
          <w:lang w:val="en-US" w:eastAsia="zh-CN"/>
        </w:rPr>
        <w:t xml:space="preserve"> </w:t>
      </w:r>
      <w:r>
        <w:rPr>
          <w:rFonts w:hint="eastAsia" w:ascii="仿宋" w:hAnsi="仿宋" w:eastAsia="仿宋" w:cs="仿宋"/>
          <w:color w:val="auto"/>
          <w:sz w:val="24"/>
        </w:rPr>
        <w:t>（以成交价为准）；</w:t>
      </w:r>
    </w:p>
    <w:p w14:paraId="4305093A">
      <w:pPr>
        <w:keepNext w:val="0"/>
        <w:keepLines w:val="0"/>
        <w:pageBreakBefore w:val="0"/>
        <w:kinsoku/>
        <w:topLinePunct w:val="0"/>
        <w:bidi w:val="0"/>
        <w:adjustRightInd w:val="0"/>
        <w:spacing w:after="0" w:line="5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2.递增方式为：</w:t>
      </w:r>
      <w:r>
        <w:rPr>
          <w:rFonts w:hint="eastAsia" w:ascii="仿宋" w:hAnsi="仿宋" w:eastAsia="仿宋" w:cs="仿宋"/>
          <w:color w:val="auto"/>
          <w:sz w:val="24"/>
          <w:u w:val="single"/>
        </w:rPr>
        <w:t>无</w:t>
      </w:r>
      <w:r>
        <w:rPr>
          <w:rFonts w:hint="eastAsia" w:ascii="仿宋" w:hAnsi="仿宋" w:eastAsia="仿宋" w:cs="仿宋"/>
          <w:color w:val="auto"/>
          <w:sz w:val="24"/>
        </w:rPr>
        <w:t>。</w:t>
      </w:r>
      <w:bookmarkStart w:id="7" w:name="_Toc391912294"/>
      <w:bookmarkStart w:id="8" w:name="_Toc391912317"/>
    </w:p>
    <w:p w14:paraId="6A4E5AD3">
      <w:pPr>
        <w:keepNext w:val="0"/>
        <w:keepLines w:val="0"/>
        <w:pageBreakBefore w:val="0"/>
        <w:kinsoku/>
        <w:topLinePunct w:val="0"/>
        <w:bidi w:val="0"/>
        <w:adjustRightInd w:val="0"/>
        <w:snapToGrid w:val="0"/>
        <w:spacing w:after="0" w:line="560" w:lineRule="exact"/>
        <w:textAlignment w:val="auto"/>
        <w:outlineLvl w:val="1"/>
        <w:rPr>
          <w:rFonts w:hint="eastAsia" w:ascii="仿宋" w:hAnsi="仿宋" w:eastAsia="仿宋" w:cs="仿宋"/>
          <w:color w:val="auto"/>
          <w:sz w:val="24"/>
        </w:rPr>
      </w:pPr>
      <w:r>
        <w:rPr>
          <w:rFonts w:hint="eastAsia" w:ascii="仿宋" w:hAnsi="仿宋" w:eastAsia="仿宋" w:cs="仿宋"/>
          <w:b/>
          <w:color w:val="auto"/>
          <w:sz w:val="24"/>
        </w:rPr>
        <w:t>四、</w:t>
      </w:r>
      <w:bookmarkEnd w:id="7"/>
      <w:bookmarkEnd w:id="8"/>
      <w:r>
        <w:rPr>
          <w:rFonts w:hint="eastAsia" w:ascii="仿宋" w:hAnsi="仿宋" w:eastAsia="仿宋" w:cs="仿宋"/>
          <w:b/>
          <w:bCs/>
          <w:color w:val="auto"/>
          <w:sz w:val="24"/>
        </w:rPr>
        <w:t>其他需要约定的事项</w:t>
      </w:r>
      <w:bookmarkStart w:id="9" w:name="_Toc322033390"/>
      <w:bookmarkStart w:id="10" w:name="_Toc391912295"/>
      <w:bookmarkStart w:id="11" w:name="_Toc5946"/>
      <w:bookmarkStart w:id="12" w:name="_Toc391912318"/>
    </w:p>
    <w:p w14:paraId="5EE9DF35">
      <w:pPr>
        <w:keepNext w:val="0"/>
        <w:keepLines w:val="0"/>
        <w:pageBreakBefore w:val="0"/>
        <w:widowControl/>
        <w:kinsoku/>
        <w:topLinePunct w:val="0"/>
        <w:bidi w:val="0"/>
        <w:adjustRightInd w:val="0"/>
        <w:spacing w:after="0" w:line="560" w:lineRule="exact"/>
        <w:ind w:firstLine="480" w:firstLineChars="200"/>
        <w:jc w:val="left"/>
        <w:textAlignment w:val="auto"/>
        <w:rPr>
          <w:rFonts w:ascii="仿宋" w:hAnsi="仿宋" w:eastAsia="仿宋" w:cs="仿宋"/>
          <w:color w:val="auto"/>
          <w:spacing w:val="0"/>
          <w:position w:val="0"/>
          <w:sz w:val="24"/>
          <w:u w:val="none"/>
          <w:shd w:val="clear" w:color="auto" w:fill="auto"/>
        </w:rPr>
      </w:pPr>
      <w:r>
        <w:rPr>
          <w:rFonts w:ascii="仿宋" w:hAnsi="仿宋" w:eastAsia="仿宋" w:cs="仿宋"/>
          <w:color w:val="auto"/>
          <w:spacing w:val="0"/>
          <w:position w:val="0"/>
          <w:sz w:val="24"/>
          <w:u w:val="none"/>
          <w:shd w:val="clear" w:color="auto" w:fill="auto"/>
        </w:rPr>
        <w:t>1、合同履约保证金</w:t>
      </w:r>
      <w:r>
        <w:rPr>
          <w:rFonts w:hint="eastAsia" w:ascii="仿宋" w:hAnsi="仿宋" w:eastAsia="仿宋" w:cs="仿宋"/>
          <w:color w:val="auto"/>
          <w:sz w:val="24"/>
          <w:u w:val="single"/>
          <w:lang w:val="en-US" w:eastAsia="zh-CN"/>
        </w:rPr>
        <w:t xml:space="preserve"> </w:t>
      </w:r>
      <w:r>
        <w:rPr>
          <w:rFonts w:hint="eastAsia" w:ascii="仿宋" w:hAnsi="仿宋" w:eastAsia="仿宋" w:cs="仿宋"/>
          <w:sz w:val="24"/>
          <w:u w:val="single"/>
        </w:rPr>
        <w:t>详见附表</w:t>
      </w:r>
      <w:r>
        <w:rPr>
          <w:rFonts w:hint="eastAsia" w:ascii="仿宋" w:hAnsi="仿宋" w:eastAsia="仿宋" w:cs="仿宋"/>
          <w:sz w:val="24"/>
          <w:u w:val="single"/>
          <w:lang w:val="en-US" w:eastAsia="zh-CN"/>
        </w:rPr>
        <w:t xml:space="preserve"> </w:t>
      </w:r>
      <w:r>
        <w:rPr>
          <w:rFonts w:ascii="仿宋" w:hAnsi="仿宋" w:eastAsia="仿宋" w:cs="仿宋"/>
          <w:color w:val="auto"/>
          <w:spacing w:val="0"/>
          <w:position w:val="0"/>
          <w:sz w:val="24"/>
          <w:u w:val="none"/>
          <w:shd w:val="clear" w:color="auto" w:fill="auto"/>
        </w:rPr>
        <w:t>。竞得人应于合同签订前2天将合同履约保证金转入出租方指定账户，方可签订合同，否则视为竞得人放弃竞得资格，交易保证金由交易服务机构一次性全额不计息转交给项目业主单位，由项目业主单位予以没收处理。交易保证金不转为合同履约保证金，在竞得人签订合同后5个工作日由交易服务机构一次性全额不计息退回竞得人。</w:t>
      </w:r>
    </w:p>
    <w:p w14:paraId="63C099B4">
      <w:pPr>
        <w:keepNext w:val="0"/>
        <w:keepLines w:val="0"/>
        <w:pageBreakBefore w:val="0"/>
        <w:widowControl/>
        <w:kinsoku/>
        <w:topLinePunct w:val="0"/>
        <w:bidi w:val="0"/>
        <w:adjustRightInd w:val="0"/>
        <w:spacing w:after="0" w:line="560" w:lineRule="exact"/>
        <w:ind w:firstLine="480" w:firstLineChars="200"/>
        <w:jc w:val="left"/>
        <w:textAlignment w:val="auto"/>
        <w:rPr>
          <w:rFonts w:ascii="仿宋" w:hAnsi="仿宋" w:eastAsia="仿宋" w:cs="仿宋"/>
          <w:color w:val="auto"/>
          <w:spacing w:val="0"/>
          <w:position w:val="0"/>
          <w:sz w:val="24"/>
          <w:u w:val="none"/>
          <w:shd w:val="clear" w:color="auto" w:fill="auto"/>
        </w:rPr>
      </w:pPr>
      <w:r>
        <w:rPr>
          <w:rFonts w:ascii="仿宋" w:hAnsi="仿宋" w:eastAsia="仿宋" w:cs="仿宋"/>
          <w:color w:val="auto"/>
          <w:spacing w:val="0"/>
          <w:position w:val="0"/>
          <w:sz w:val="24"/>
          <w:u w:val="none"/>
          <w:shd w:val="clear" w:color="auto" w:fill="auto"/>
        </w:rPr>
        <w:t>2、竞投人成功竞得的，若未在竞得后2个工作日内携带相关资料到天河区农村集体资产交易中心签订纸质网上交易平台服务协议及广州市天河区农村集体资产交易确认书的，或在竞投结果公示结束后5个工作日内，因竞得人原因，未与项目业主单位签订合同的，视为自动放弃竞得资格，其交纳的交易保证金将由交易服务机构一次性全额不计息转交给项目业主单位，项目业主单位将作全额没收处理。同时竞投项目由项目业主单位收回，另作处理。</w:t>
      </w:r>
    </w:p>
    <w:p w14:paraId="2F1E7A87">
      <w:pPr>
        <w:keepNext w:val="0"/>
        <w:keepLines w:val="0"/>
        <w:pageBreakBefore w:val="0"/>
        <w:widowControl/>
        <w:kinsoku/>
        <w:topLinePunct w:val="0"/>
        <w:bidi w:val="0"/>
        <w:adjustRightInd w:val="0"/>
        <w:spacing w:after="0" w:line="560" w:lineRule="exact"/>
        <w:ind w:firstLine="480" w:firstLineChars="200"/>
        <w:jc w:val="left"/>
        <w:textAlignment w:val="auto"/>
        <w:rPr>
          <w:rFonts w:ascii="仿宋" w:hAnsi="仿宋" w:eastAsia="仿宋" w:cs="仿宋"/>
          <w:color w:val="auto"/>
          <w:spacing w:val="0"/>
          <w:position w:val="0"/>
          <w:sz w:val="24"/>
          <w:u w:val="none"/>
          <w:shd w:val="clear" w:color="auto" w:fill="auto"/>
        </w:rPr>
      </w:pPr>
      <w:r>
        <w:rPr>
          <w:rFonts w:ascii="仿宋" w:hAnsi="仿宋" w:eastAsia="仿宋" w:cs="仿宋"/>
          <w:color w:val="auto"/>
          <w:spacing w:val="0"/>
          <w:position w:val="0"/>
          <w:sz w:val="24"/>
          <w:u w:val="none"/>
          <w:shd w:val="clear" w:color="auto" w:fill="auto"/>
        </w:rPr>
        <w:t>3、承租方不得在租赁物业内生产、经营活家禽、假冒、伪劣产品及饮食业、涉黄涉暴行业、无证照诊所、废旧品回收、屠宰场等；不得利用租赁物业非法生产、加工、储存、经营酸碱等强腐蚀性物品及易燃易爆剧毒等危险物品。具体事项，市场可根据实际情况进行调整。
</w:t>
      </w:r>
    </w:p>
    <w:p w14:paraId="7F8995A9">
      <w:pPr>
        <w:keepNext w:val="0"/>
        <w:keepLines w:val="0"/>
        <w:pageBreakBefore w:val="0"/>
        <w:widowControl/>
        <w:kinsoku/>
        <w:topLinePunct w:val="0"/>
        <w:bidi w:val="0"/>
        <w:adjustRightInd w:val="0"/>
        <w:spacing w:after="0" w:line="560" w:lineRule="exact"/>
        <w:ind w:firstLine="480" w:firstLineChars="200"/>
        <w:jc w:val="left"/>
        <w:textAlignment w:val="auto"/>
        <w:rPr>
          <w:rFonts w:ascii="仿宋" w:hAnsi="仿宋" w:eastAsia="仿宋" w:cs="仿宋"/>
          <w:color w:val="auto"/>
          <w:spacing w:val="0"/>
          <w:position w:val="0"/>
          <w:sz w:val="24"/>
          <w:u w:val="none"/>
          <w:shd w:val="clear" w:color="auto" w:fill="auto"/>
        </w:rPr>
      </w:pPr>
      <w:r>
        <w:rPr>
          <w:rFonts w:ascii="仿宋" w:hAnsi="仿宋" w:eastAsia="仿宋" w:cs="仿宋"/>
          <w:color w:val="auto"/>
          <w:spacing w:val="0"/>
          <w:position w:val="0"/>
          <w:sz w:val="24"/>
          <w:u w:val="none"/>
          <w:shd w:val="clear" w:color="auto" w:fill="auto"/>
        </w:rPr>
        <w:t>4、租赁物业的承租方只能按物业性质使用，由承租方自行办理因利用租赁物业从事经营活动所需的各种证照，一切牌照及税费由承租方自理。承租方必须按《石牌市场管理规定》守法经营，明码实价，不得缺斤缺两。
</w:t>
      </w:r>
    </w:p>
    <w:p w14:paraId="57EBA870">
      <w:pPr>
        <w:keepNext w:val="0"/>
        <w:keepLines w:val="0"/>
        <w:pageBreakBefore w:val="0"/>
        <w:widowControl/>
        <w:kinsoku/>
        <w:topLinePunct w:val="0"/>
        <w:bidi w:val="0"/>
        <w:adjustRightInd w:val="0"/>
        <w:spacing w:after="0" w:line="560" w:lineRule="exact"/>
        <w:ind w:firstLine="480" w:firstLineChars="200"/>
        <w:jc w:val="left"/>
        <w:textAlignment w:val="auto"/>
        <w:rPr>
          <w:rFonts w:ascii="仿宋" w:hAnsi="仿宋" w:eastAsia="仿宋" w:cs="仿宋"/>
          <w:color w:val="auto"/>
          <w:spacing w:val="0"/>
          <w:position w:val="0"/>
          <w:sz w:val="24"/>
          <w:u w:val="none"/>
          <w:shd w:val="clear" w:color="auto" w:fill="auto"/>
        </w:rPr>
      </w:pPr>
      <w:r>
        <w:rPr>
          <w:rFonts w:ascii="仿宋" w:hAnsi="仿宋" w:eastAsia="仿宋" w:cs="仿宋"/>
          <w:color w:val="auto"/>
          <w:spacing w:val="0"/>
          <w:position w:val="0"/>
          <w:sz w:val="24"/>
          <w:u w:val="none"/>
          <w:shd w:val="clear" w:color="auto" w:fill="auto"/>
        </w:rPr>
        <w:t>5、出租项目（档位）按现状移交，如需要装修改造必须经市场管理方同意后才可以进行施工，如违反市场管理规定和市场管理协议，市场方有权解除合同收回档位，合同履约保证金不退，责任自负。
</w:t>
      </w:r>
    </w:p>
    <w:p w14:paraId="52864E92">
      <w:pPr>
        <w:keepNext w:val="0"/>
        <w:keepLines w:val="0"/>
        <w:pageBreakBefore w:val="0"/>
        <w:widowControl/>
        <w:kinsoku/>
        <w:topLinePunct w:val="0"/>
        <w:bidi w:val="0"/>
        <w:adjustRightInd w:val="0"/>
        <w:spacing w:after="0" w:line="560" w:lineRule="exact"/>
        <w:ind w:firstLine="480" w:firstLineChars="200"/>
        <w:jc w:val="left"/>
        <w:textAlignment w:val="auto"/>
        <w:rPr>
          <w:rFonts w:ascii="仿宋" w:hAnsi="仿宋" w:eastAsia="仿宋" w:cs="仿宋"/>
          <w:color w:val="auto"/>
          <w:spacing w:val="0"/>
          <w:position w:val="0"/>
          <w:sz w:val="24"/>
          <w:u w:val="none"/>
          <w:shd w:val="clear" w:color="auto" w:fill="auto"/>
        </w:rPr>
      </w:pPr>
      <w:r>
        <w:rPr>
          <w:rFonts w:ascii="仿宋" w:hAnsi="仿宋" w:eastAsia="仿宋" w:cs="仿宋"/>
          <w:color w:val="auto"/>
          <w:spacing w:val="0"/>
          <w:position w:val="0"/>
          <w:sz w:val="24"/>
          <w:u w:val="none"/>
          <w:shd w:val="clear" w:color="auto" w:fill="auto"/>
        </w:rPr>
        <w:t>6、承租方必须守法经营，单次停业时间不得超过10天，全年累计不得超过20天。</w:t>
      </w:r>
    </w:p>
    <w:p w14:paraId="512FC651">
      <w:pPr>
        <w:keepNext w:val="0"/>
        <w:keepLines w:val="0"/>
        <w:pageBreakBefore w:val="0"/>
        <w:widowControl/>
        <w:kinsoku/>
        <w:topLinePunct w:val="0"/>
        <w:bidi w:val="0"/>
        <w:adjustRightInd w:val="0"/>
        <w:spacing w:after="0" w:line="560" w:lineRule="exact"/>
        <w:ind w:firstLine="480" w:firstLineChars="200"/>
        <w:jc w:val="left"/>
        <w:textAlignment w:val="auto"/>
        <w:rPr>
          <w:rFonts w:ascii="仿宋" w:hAnsi="仿宋" w:eastAsia="仿宋" w:cs="仿宋"/>
          <w:color w:val="auto"/>
          <w:spacing w:val="0"/>
          <w:position w:val="0"/>
          <w:sz w:val="24"/>
          <w:u w:val="none"/>
          <w:shd w:val="clear" w:color="auto" w:fill="auto"/>
        </w:rPr>
      </w:pPr>
      <w:r>
        <w:rPr>
          <w:rFonts w:ascii="仿宋" w:hAnsi="仿宋" w:eastAsia="仿宋" w:cs="仿宋"/>
          <w:color w:val="auto"/>
          <w:spacing w:val="0"/>
          <w:position w:val="0"/>
          <w:sz w:val="24"/>
          <w:u w:val="none"/>
          <w:shd w:val="clear" w:color="auto" w:fill="auto"/>
        </w:rPr>
        <w:t>7、承租方必须在合同期内确保各种消防设施完善和正常使用，物业的消防、水电设施等设备安装、维修、维护、更换的费用由承租方承担。
</w:t>
      </w:r>
    </w:p>
    <w:p w14:paraId="1CA86245">
      <w:pPr>
        <w:keepNext w:val="0"/>
        <w:keepLines w:val="0"/>
        <w:pageBreakBefore w:val="0"/>
        <w:widowControl/>
        <w:kinsoku/>
        <w:topLinePunct w:val="0"/>
        <w:bidi w:val="0"/>
        <w:adjustRightInd w:val="0"/>
        <w:spacing w:after="0" w:line="560" w:lineRule="exact"/>
        <w:ind w:firstLine="480" w:firstLineChars="200"/>
        <w:jc w:val="left"/>
        <w:textAlignment w:val="auto"/>
        <w:rPr>
          <w:rFonts w:ascii="仿宋" w:hAnsi="仿宋" w:eastAsia="仿宋" w:cs="仿宋"/>
          <w:color w:val="auto"/>
          <w:spacing w:val="0"/>
          <w:position w:val="0"/>
          <w:sz w:val="24"/>
          <w:u w:val="none"/>
          <w:shd w:val="clear" w:color="auto" w:fill="auto"/>
        </w:rPr>
      </w:pPr>
      <w:r>
        <w:rPr>
          <w:rFonts w:ascii="仿宋" w:hAnsi="仿宋" w:eastAsia="仿宋" w:cs="仿宋"/>
          <w:color w:val="auto"/>
          <w:spacing w:val="0"/>
          <w:position w:val="0"/>
          <w:sz w:val="24"/>
          <w:u w:val="none"/>
          <w:shd w:val="clear" w:color="auto" w:fill="auto"/>
        </w:rPr>
        <w:t>8、市场管理方有权根据市场的经营现状对市场区域档位类别进行重新配置。
</w:t>
      </w:r>
    </w:p>
    <w:p w14:paraId="5BAE1780">
      <w:pPr>
        <w:keepNext w:val="0"/>
        <w:keepLines w:val="0"/>
        <w:pageBreakBefore w:val="0"/>
        <w:widowControl/>
        <w:kinsoku/>
        <w:topLinePunct w:val="0"/>
        <w:bidi w:val="0"/>
        <w:adjustRightInd w:val="0"/>
        <w:spacing w:after="0" w:line="560" w:lineRule="exact"/>
        <w:ind w:firstLine="480" w:firstLineChars="200"/>
        <w:jc w:val="left"/>
        <w:textAlignment w:val="auto"/>
        <w:rPr>
          <w:rFonts w:ascii="仿宋" w:hAnsi="仿宋" w:eastAsia="仿宋" w:cs="仿宋"/>
          <w:color w:val="auto"/>
          <w:spacing w:val="0"/>
          <w:position w:val="0"/>
          <w:sz w:val="24"/>
          <w:u w:val="none"/>
          <w:shd w:val="clear" w:color="auto" w:fill="auto"/>
        </w:rPr>
      </w:pPr>
      <w:r>
        <w:rPr>
          <w:rFonts w:ascii="仿宋" w:hAnsi="仿宋" w:eastAsia="仿宋" w:cs="仿宋"/>
          <w:color w:val="auto"/>
          <w:spacing w:val="0"/>
          <w:position w:val="0"/>
          <w:sz w:val="24"/>
          <w:u w:val="none"/>
          <w:shd w:val="clear" w:color="auto" w:fill="auto"/>
        </w:rPr>
        <w:t>9、由广州市骏凯置业有限公司签订租赁合同（包括水电使用协议、市场管理协议、消防安全协议等）及收取租金等费用款项。
</w:t>
      </w:r>
    </w:p>
    <w:p w14:paraId="5C5FED9C">
      <w:pPr>
        <w:keepNext w:val="0"/>
        <w:keepLines w:val="0"/>
        <w:pageBreakBefore w:val="0"/>
        <w:widowControl/>
        <w:kinsoku/>
        <w:topLinePunct w:val="0"/>
        <w:bidi w:val="0"/>
        <w:adjustRightInd w:val="0"/>
        <w:spacing w:after="0" w:line="560" w:lineRule="exact"/>
        <w:ind w:firstLine="480" w:firstLineChars="200"/>
        <w:jc w:val="left"/>
        <w:textAlignment w:val="auto"/>
        <w:rPr>
          <w:rFonts w:hint="eastAsia" w:ascii="仿宋" w:hAnsi="仿宋" w:eastAsia="仿宋" w:cs="仿宋"/>
          <w:color w:val="auto"/>
          <w:sz w:val="24"/>
          <w:u w:val="none"/>
        </w:rPr>
      </w:pPr>
      <w:r>
        <w:rPr>
          <w:rFonts w:ascii="仿宋" w:hAnsi="仿宋" w:eastAsia="仿宋" w:cs="仿宋"/>
          <w:color w:val="auto"/>
          <w:spacing w:val="0"/>
          <w:position w:val="0"/>
          <w:sz w:val="24"/>
          <w:u w:val="none"/>
          <w:shd w:val="clear" w:color="auto" w:fill="auto"/>
        </w:rPr>
        <w:t>10、具体详见合同条款。</w:t>
      </w:r>
    </w:p>
    <w:p w14:paraId="615E3055">
      <w:pPr>
        <w:keepNext w:val="0"/>
        <w:keepLines w:val="0"/>
        <w:pageBreakBefore w:val="0"/>
        <w:widowControl/>
        <w:kinsoku/>
        <w:topLinePunct w:val="0"/>
        <w:bidi w:val="0"/>
        <w:adjustRightInd w:val="0"/>
        <w:spacing w:after="0" w:line="560" w:lineRule="exact"/>
        <w:jc w:val="left"/>
        <w:textAlignment w:val="auto"/>
        <w:rPr>
          <w:rFonts w:hint="eastAsia" w:ascii="仿宋" w:hAnsi="仿宋" w:eastAsia="仿宋" w:cs="仿宋"/>
          <w:color w:val="auto"/>
          <w:sz w:val="24"/>
          <w:u w:val="none"/>
        </w:rPr>
      </w:pPr>
    </w:p>
    <w:p w14:paraId="06E9C54D">
      <w:pPr>
        <w:keepNext w:val="0"/>
        <w:keepLines w:val="0"/>
        <w:pageBreakBefore w:val="0"/>
        <w:widowControl/>
        <w:kinsoku/>
        <w:topLinePunct w:val="0"/>
        <w:bidi w:val="0"/>
        <w:adjustRightInd w:val="0"/>
        <w:spacing w:after="0" w:line="560" w:lineRule="exact"/>
        <w:jc w:val="left"/>
        <w:textAlignment w:val="auto"/>
        <w:rPr>
          <w:rFonts w:hint="eastAsia" w:ascii="仿宋" w:hAnsi="仿宋" w:eastAsia="仿宋" w:cs="仿宋"/>
          <w:color w:val="auto"/>
          <w:sz w:val="24"/>
          <w:u w:val="single"/>
        </w:rPr>
      </w:pPr>
    </w:p>
    <w:p w14:paraId="036A9D29">
      <w:pPr>
        <w:keepNext w:val="0"/>
        <w:keepLines w:val="0"/>
        <w:pageBreakBefore w:val="0"/>
        <w:widowControl/>
        <w:kinsoku/>
        <w:topLinePunct w:val="0"/>
        <w:bidi w:val="0"/>
        <w:adjustRightInd w:val="0"/>
        <w:spacing w:after="0" w:line="560" w:lineRule="exact"/>
        <w:jc w:val="left"/>
        <w:textAlignment w:val="auto"/>
        <w:rPr>
          <w:rFonts w:hint="eastAsia" w:ascii="仿宋" w:hAnsi="仿宋" w:eastAsia="仿宋" w:cs="仿宋"/>
          <w:color w:val="auto"/>
          <w:sz w:val="24"/>
          <w:u w:val="single"/>
        </w:rPr>
      </w:pPr>
    </w:p>
    <w:p w14:paraId="2ECC8C3B">
      <w:pPr>
        <w:keepNext w:val="0"/>
        <w:keepLines w:val="0"/>
        <w:pageBreakBefore w:val="0"/>
        <w:widowControl/>
        <w:kinsoku/>
        <w:topLinePunct w:val="0"/>
        <w:bidi w:val="0"/>
        <w:adjustRightInd w:val="0"/>
        <w:spacing w:after="0" w:line="560" w:lineRule="exact"/>
        <w:jc w:val="left"/>
        <w:textAlignment w:val="auto"/>
        <w:rPr>
          <w:rFonts w:hint="eastAsia" w:ascii="仿宋" w:hAnsi="仿宋" w:eastAsia="仿宋" w:cs="仿宋"/>
          <w:color w:val="auto"/>
          <w:sz w:val="24"/>
          <w:u w:val="single"/>
        </w:rPr>
      </w:pPr>
    </w:p>
    <w:p w14:paraId="511172C1">
      <w:pPr>
        <w:keepNext w:val="0"/>
        <w:keepLines w:val="0"/>
        <w:pageBreakBefore w:val="0"/>
        <w:widowControl/>
        <w:kinsoku/>
        <w:topLinePunct w:val="0"/>
        <w:bidi w:val="0"/>
        <w:adjustRightInd w:val="0"/>
        <w:spacing w:after="0" w:line="560" w:lineRule="exact"/>
        <w:jc w:val="left"/>
        <w:textAlignment w:val="auto"/>
        <w:rPr>
          <w:rFonts w:hint="eastAsia" w:ascii="仿宋" w:hAnsi="仿宋" w:eastAsia="仿宋" w:cs="仿宋"/>
          <w:color w:val="auto"/>
          <w:sz w:val="24"/>
          <w:u w:val="single"/>
        </w:rPr>
      </w:pPr>
    </w:p>
    <w:bookmarkEnd w:id="2"/>
    <w:bookmarkEnd w:id="9"/>
    <w:bookmarkEnd w:id="10"/>
    <w:bookmarkEnd w:id="11"/>
    <w:bookmarkEnd w:id="12"/>
    <w:p w14:paraId="54B108FB">
      <w:pPr>
        <w:pStyle w:val="3"/>
        <w:keepNext w:val="0"/>
        <w:keepLines w:val="0"/>
        <w:pageBreakBefore w:val="0"/>
        <w:kinsoku/>
        <w:topLinePunct w:val="0"/>
        <w:bidi w:val="0"/>
        <w:spacing w:after="0" w:line="560" w:lineRule="exact"/>
        <w:jc w:val="center"/>
        <w:textAlignment w:val="auto"/>
        <w:rPr>
          <w:rFonts w:hint="eastAsia" w:ascii="宋体" w:hAnsi="宋体" w:eastAsia="仿宋" w:cs="宋体"/>
          <w:b/>
          <w:bCs/>
          <w:color w:val="auto"/>
          <w:sz w:val="32"/>
          <w:szCs w:val="32"/>
        </w:rPr>
      </w:pPr>
      <w:bookmarkStart w:id="13" w:name="_Toc391912296"/>
      <w:bookmarkStart w:id="14" w:name="_Toc391912319"/>
      <w:bookmarkStart w:id="15" w:name="_Toc263670112"/>
      <w:bookmarkStart w:id="16" w:name="_Toc322033391"/>
      <w:bookmarkStart w:id="17" w:name="_Toc319857805"/>
      <w:bookmarkStart w:id="18" w:name="_Toc110315369"/>
      <w:bookmarkStart w:id="19" w:name="_Toc110314992"/>
      <w:r>
        <w:rPr>
          <w:rFonts w:hint="eastAsia" w:ascii="宋体" w:hAnsi="宋体" w:eastAsia="宋体" w:cs="宋体"/>
          <w:b/>
          <w:bCs/>
          <w:color w:val="auto"/>
          <w:sz w:val="32"/>
          <w:szCs w:val="32"/>
        </w:rPr>
        <w:t>第三部分  竞投须知</w:t>
      </w:r>
    </w:p>
    <w:p w14:paraId="30EAE7E4">
      <w:pPr>
        <w:pStyle w:val="3"/>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both"/>
        <w:textAlignment w:val="auto"/>
        <w:rPr>
          <w:rFonts w:hint="eastAsia" w:ascii="仿宋" w:hAnsi="仿宋" w:eastAsia="仿宋" w:cs="仿宋"/>
          <w:b/>
          <w:color w:val="auto"/>
          <w:sz w:val="24"/>
        </w:rPr>
      </w:pPr>
      <w:r>
        <w:rPr>
          <w:rFonts w:hint="eastAsia" w:ascii="仿宋" w:hAnsi="仿宋" w:eastAsia="仿宋" w:cs="仿宋"/>
          <w:b/>
          <w:color w:val="auto"/>
          <w:sz w:val="24"/>
        </w:rPr>
        <w:t>一、竞投人参加网上</w:t>
      </w:r>
      <w:bookmarkEnd w:id="13"/>
      <w:bookmarkEnd w:id="14"/>
      <w:r>
        <w:rPr>
          <w:rFonts w:hint="eastAsia" w:ascii="仿宋" w:hAnsi="仿宋" w:eastAsia="仿宋" w:cs="仿宋"/>
          <w:b/>
          <w:color w:val="auto"/>
          <w:sz w:val="24"/>
        </w:rPr>
        <w:t>竞投的基本要求</w:t>
      </w:r>
    </w:p>
    <w:p w14:paraId="1A68058B">
      <w:pPr>
        <w:pStyle w:val="3"/>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（一）法人</w:t>
      </w:r>
      <w:r>
        <w:rPr>
          <w:rFonts w:hint="eastAsia" w:ascii="仿宋" w:hAnsi="仿宋" w:eastAsia="仿宋" w:cs="仿宋"/>
          <w:color w:val="auto"/>
          <w:sz w:val="24"/>
          <w:lang w:eastAsia="zh-CN"/>
        </w:rPr>
        <w:t>单位</w:t>
      </w:r>
      <w:r>
        <w:rPr>
          <w:rFonts w:hint="eastAsia" w:ascii="仿宋" w:hAnsi="仿宋" w:eastAsia="仿宋" w:cs="仿宋"/>
          <w:color w:val="auto"/>
          <w:sz w:val="24"/>
        </w:rPr>
        <w:t>：参加网上竞投的竞投人必须以营业执照上的单位名称注册账号；</w:t>
      </w:r>
    </w:p>
    <w:p w14:paraId="46AE1A73">
      <w:pPr>
        <w:pStyle w:val="3"/>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eastAsia="zh-CN"/>
        </w:rPr>
        <w:t>（二）非法人企业</w:t>
      </w:r>
      <w:r>
        <w:rPr>
          <w:rFonts w:hint="eastAsia" w:ascii="仿宋" w:hAnsi="仿宋" w:eastAsia="仿宋" w:cs="仿宋"/>
          <w:color w:val="auto"/>
          <w:sz w:val="24"/>
          <w:lang w:val="en-US" w:eastAsia="zh-CN"/>
        </w:rPr>
        <w:t>：参加网上竞投的竞投人必须以营业执照上的单位名称注册账号；</w:t>
      </w:r>
    </w:p>
    <w:p w14:paraId="7F7278E6">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eastAsia="zh-CN"/>
        </w:rPr>
        <w:t>三</w:t>
      </w:r>
      <w:r>
        <w:rPr>
          <w:rFonts w:hint="eastAsia" w:ascii="仿宋" w:hAnsi="仿宋" w:eastAsia="仿宋" w:cs="仿宋"/>
          <w:color w:val="auto"/>
          <w:sz w:val="24"/>
        </w:rPr>
        <w:t>）个体</w:t>
      </w:r>
      <w:r>
        <w:rPr>
          <w:rFonts w:hint="eastAsia" w:ascii="仿宋" w:hAnsi="仿宋" w:eastAsia="仿宋" w:cs="仿宋"/>
          <w:color w:val="auto"/>
          <w:sz w:val="24"/>
          <w:lang w:eastAsia="zh-CN"/>
        </w:rPr>
        <w:t>工商</w:t>
      </w:r>
      <w:r>
        <w:rPr>
          <w:rFonts w:hint="eastAsia" w:ascii="仿宋" w:hAnsi="仿宋" w:eastAsia="仿宋" w:cs="仿宋"/>
          <w:color w:val="auto"/>
          <w:sz w:val="24"/>
        </w:rPr>
        <w:t>户：参加网上竞投的竞投人必须以营业执照上的单位名称注册账号；</w:t>
      </w:r>
    </w:p>
    <w:p w14:paraId="450A9EE6">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eastAsia="zh-CN"/>
        </w:rPr>
        <w:t>四</w:t>
      </w:r>
      <w:r>
        <w:rPr>
          <w:rFonts w:hint="eastAsia" w:ascii="仿宋" w:hAnsi="仿宋" w:eastAsia="仿宋" w:cs="仿宋"/>
          <w:color w:val="auto"/>
          <w:sz w:val="24"/>
        </w:rPr>
        <w:t>）完全民事行为能力的自然人：参加网上竞投的竞投人必须以其本人身份信息注册账号</w:t>
      </w:r>
      <w:bookmarkStart w:id="20" w:name="_Toc391912320"/>
      <w:bookmarkStart w:id="21" w:name="_Toc391912297"/>
      <w:r>
        <w:rPr>
          <w:rFonts w:hint="eastAsia" w:ascii="仿宋" w:hAnsi="仿宋" w:eastAsia="仿宋" w:cs="仿宋"/>
          <w:color w:val="auto"/>
          <w:sz w:val="24"/>
        </w:rPr>
        <w:t>。</w:t>
      </w:r>
    </w:p>
    <w:p w14:paraId="77A7B113">
      <w:pPr>
        <w:keepNext w:val="0"/>
        <w:keepLines w:val="0"/>
        <w:pageBreakBefore w:val="0"/>
        <w:widowControl w:val="0"/>
        <w:kinsoku/>
        <w:wordWrap/>
        <w:overflowPunct/>
        <w:topLinePunct w:val="0"/>
        <w:autoSpaceDE/>
        <w:autoSpaceDN/>
        <w:bidi w:val="0"/>
        <w:adjustRightInd/>
        <w:snapToGrid/>
        <w:spacing w:after="0" w:line="560" w:lineRule="exact"/>
        <w:ind w:firstLine="0" w:firstLineChars="0"/>
        <w:textAlignment w:val="auto"/>
        <w:rPr>
          <w:rFonts w:hint="eastAsia" w:ascii="仿宋" w:hAnsi="仿宋" w:eastAsia="仿宋" w:cs="仿宋"/>
          <w:b/>
          <w:color w:val="auto"/>
          <w:sz w:val="24"/>
        </w:rPr>
      </w:pPr>
      <w:r>
        <w:rPr>
          <w:rFonts w:hint="eastAsia" w:ascii="仿宋" w:hAnsi="仿宋" w:eastAsia="仿宋" w:cs="仿宋"/>
          <w:b/>
          <w:color w:val="auto"/>
          <w:sz w:val="24"/>
        </w:rPr>
        <w:t>二、报名方法</w:t>
      </w:r>
    </w:p>
    <w:p w14:paraId="05E7E057">
      <w:pPr>
        <w:keepNext w:val="0"/>
        <w:keepLines w:val="0"/>
        <w:pageBreakBefore w:val="0"/>
        <w:kinsoku/>
        <w:topLinePunct w:val="0"/>
        <w:bidi w:val="0"/>
        <w:spacing w:after="0" w:line="560" w:lineRule="exact"/>
        <w:ind w:firstLine="480" w:firstLineChars="200"/>
        <w:textAlignment w:val="auto"/>
        <w:rPr>
          <w:rFonts w:hint="eastAsia" w:ascii="仿宋" w:hAnsi="仿宋" w:eastAsia="仿宋" w:cs="仿宋"/>
          <w:b w:val="0"/>
          <w:bCs/>
          <w:color w:val="auto"/>
          <w:sz w:val="24"/>
        </w:rPr>
      </w:pPr>
      <w:r>
        <w:rPr>
          <w:rFonts w:hint="eastAsia" w:ascii="仿宋" w:hAnsi="仿宋" w:eastAsia="仿宋" w:cs="仿宋"/>
          <w:b w:val="0"/>
          <w:bCs/>
          <w:color w:val="auto"/>
          <w:sz w:val="24"/>
        </w:rPr>
        <w:t>（一）竞投人可于报名时间内通过</w:t>
      </w:r>
      <w:r>
        <w:rPr>
          <w:rFonts w:hint="eastAsia" w:ascii="仿宋" w:hAnsi="仿宋" w:eastAsia="仿宋" w:cs="仿宋"/>
          <w:b w:val="0"/>
          <w:bCs/>
          <w:color w:val="auto"/>
          <w:sz w:val="24"/>
          <w:lang w:eastAsia="zh-CN"/>
        </w:rPr>
        <w:t>广州市天河区农村集体资产管理平台</w:t>
      </w:r>
      <w:r>
        <w:rPr>
          <w:rFonts w:hint="eastAsia" w:ascii="仿宋" w:hAnsi="仿宋" w:eastAsia="仿宋" w:cs="仿宋"/>
          <w:b w:val="0"/>
          <w:bCs/>
          <w:color w:val="auto"/>
          <w:sz w:val="24"/>
        </w:rPr>
        <w:t>http://szjy.thnet.gov.cn/或“天河农村集体资产交易”微信公众号的【网上竞投】模块</w:t>
      </w:r>
      <w:r>
        <w:rPr>
          <w:rFonts w:hint="eastAsia" w:ascii="仿宋" w:hAnsi="仿宋" w:eastAsia="仿宋" w:cs="仿宋"/>
          <w:b w:val="0"/>
          <w:bCs/>
          <w:color w:val="auto"/>
          <w:sz w:val="24"/>
          <w:lang w:eastAsia="zh-CN"/>
        </w:rPr>
        <w:t>进行用户</w:t>
      </w:r>
      <w:r>
        <w:rPr>
          <w:rFonts w:hint="eastAsia" w:ascii="仿宋" w:hAnsi="仿宋" w:eastAsia="仿宋" w:cs="仿宋"/>
          <w:b w:val="0"/>
          <w:bCs/>
          <w:color w:val="auto"/>
          <w:sz w:val="24"/>
        </w:rPr>
        <w:t>登录，选择</w:t>
      </w:r>
      <w:r>
        <w:rPr>
          <w:rFonts w:hint="eastAsia" w:ascii="仿宋" w:hAnsi="仿宋" w:eastAsia="仿宋" w:cs="仿宋"/>
          <w:b w:val="0"/>
          <w:bCs/>
          <w:color w:val="auto"/>
          <w:sz w:val="24"/>
          <w:lang w:eastAsia="zh-CN"/>
        </w:rPr>
        <w:t>意向</w:t>
      </w:r>
      <w:r>
        <w:rPr>
          <w:rFonts w:hint="eastAsia" w:ascii="仿宋" w:hAnsi="仿宋" w:eastAsia="仿宋" w:cs="仿宋"/>
          <w:b w:val="0"/>
          <w:bCs/>
          <w:color w:val="auto"/>
          <w:sz w:val="24"/>
        </w:rPr>
        <w:t>的项目</w:t>
      </w:r>
      <w:r>
        <w:rPr>
          <w:rFonts w:hint="eastAsia" w:ascii="仿宋" w:hAnsi="仿宋" w:eastAsia="仿宋" w:cs="仿宋"/>
          <w:b w:val="0"/>
          <w:bCs/>
          <w:color w:val="auto"/>
          <w:sz w:val="24"/>
          <w:lang w:eastAsia="zh-CN"/>
        </w:rPr>
        <w:t>进行报名</w:t>
      </w:r>
      <w:r>
        <w:rPr>
          <w:rFonts w:hint="eastAsia" w:ascii="仿宋" w:hAnsi="仿宋" w:eastAsia="仿宋" w:cs="仿宋"/>
          <w:b w:val="0"/>
          <w:bCs/>
          <w:color w:val="auto"/>
          <w:sz w:val="24"/>
        </w:rPr>
        <w:t>，仔细阅读竞投公告并获取</w:t>
      </w:r>
      <w:r>
        <w:rPr>
          <w:rFonts w:hint="eastAsia" w:ascii="仿宋" w:hAnsi="仿宋" w:eastAsia="仿宋" w:cs="仿宋"/>
          <w:b w:val="0"/>
          <w:bCs/>
          <w:color w:val="auto"/>
          <w:sz w:val="24"/>
          <w:lang w:eastAsia="zh-CN"/>
        </w:rPr>
        <w:t>交纳交易</w:t>
      </w:r>
      <w:r>
        <w:rPr>
          <w:rFonts w:hint="eastAsia" w:ascii="仿宋" w:hAnsi="仿宋" w:eastAsia="仿宋" w:cs="仿宋"/>
          <w:b w:val="0"/>
          <w:bCs/>
          <w:color w:val="auto"/>
          <w:sz w:val="24"/>
        </w:rPr>
        <w:t>保证金</w:t>
      </w:r>
      <w:r>
        <w:rPr>
          <w:rFonts w:hint="eastAsia" w:ascii="仿宋" w:hAnsi="仿宋" w:eastAsia="仿宋" w:cs="仿宋"/>
          <w:b w:val="0"/>
          <w:bCs/>
          <w:color w:val="auto"/>
          <w:sz w:val="24"/>
          <w:lang w:eastAsia="zh-CN"/>
        </w:rPr>
        <w:t>的</w:t>
      </w:r>
      <w:r>
        <w:rPr>
          <w:rFonts w:hint="eastAsia" w:ascii="仿宋" w:hAnsi="仿宋" w:eastAsia="仿宋" w:cs="仿宋"/>
          <w:b w:val="0"/>
          <w:bCs/>
          <w:color w:val="auto"/>
          <w:sz w:val="24"/>
        </w:rPr>
        <w:t>账号。竞投人通过银行转账方式完成</w:t>
      </w:r>
      <w:r>
        <w:rPr>
          <w:rFonts w:hint="eastAsia" w:ascii="仿宋" w:hAnsi="仿宋" w:eastAsia="仿宋" w:cs="仿宋"/>
          <w:b w:val="0"/>
          <w:bCs/>
          <w:color w:val="auto"/>
          <w:sz w:val="24"/>
          <w:lang w:eastAsia="zh-CN"/>
        </w:rPr>
        <w:t>转账</w:t>
      </w:r>
      <w:r>
        <w:rPr>
          <w:rFonts w:hint="eastAsia" w:ascii="仿宋" w:hAnsi="仿宋" w:eastAsia="仿宋" w:cs="仿宋"/>
          <w:b w:val="0"/>
          <w:bCs/>
          <w:color w:val="auto"/>
          <w:sz w:val="24"/>
        </w:rPr>
        <w:t>后，重新进入报名界面</w:t>
      </w:r>
      <w:r>
        <w:rPr>
          <w:rFonts w:hint="eastAsia" w:ascii="仿宋" w:hAnsi="仿宋" w:eastAsia="仿宋" w:cs="仿宋"/>
          <w:b w:val="0"/>
          <w:bCs/>
          <w:color w:val="auto"/>
          <w:sz w:val="24"/>
          <w:lang w:eastAsia="zh-CN"/>
        </w:rPr>
        <w:t>再完整</w:t>
      </w:r>
      <w:r>
        <w:rPr>
          <w:rFonts w:hint="eastAsia" w:ascii="仿宋" w:hAnsi="仿宋" w:eastAsia="仿宋" w:cs="仿宋"/>
          <w:b w:val="0"/>
          <w:bCs/>
          <w:color w:val="auto"/>
          <w:sz w:val="24"/>
        </w:rPr>
        <w:t>填写报名信息，上传</w:t>
      </w:r>
      <w:r>
        <w:rPr>
          <w:rFonts w:hint="eastAsia" w:ascii="仿宋" w:hAnsi="仿宋" w:eastAsia="仿宋" w:cs="仿宋"/>
          <w:b w:val="0"/>
          <w:bCs/>
          <w:color w:val="auto"/>
          <w:sz w:val="24"/>
          <w:lang w:eastAsia="zh-CN"/>
        </w:rPr>
        <w:t>转账</w:t>
      </w:r>
      <w:r>
        <w:rPr>
          <w:rFonts w:hint="eastAsia" w:ascii="仿宋" w:hAnsi="仿宋" w:eastAsia="仿宋" w:cs="仿宋"/>
          <w:b w:val="0"/>
          <w:bCs/>
          <w:color w:val="auto"/>
          <w:sz w:val="24"/>
        </w:rPr>
        <w:t>凭证及项目资质要求相符的完整资料，</w:t>
      </w:r>
      <w:r>
        <w:rPr>
          <w:rFonts w:hint="eastAsia" w:ascii="仿宋" w:hAnsi="仿宋" w:eastAsia="仿宋" w:cs="仿宋"/>
          <w:b w:val="0"/>
          <w:bCs/>
          <w:color w:val="auto"/>
          <w:sz w:val="24"/>
          <w:lang w:eastAsia="zh-CN"/>
        </w:rPr>
        <w:t>点击保存并提交报名，待审核通过，</w:t>
      </w:r>
      <w:r>
        <w:rPr>
          <w:rFonts w:hint="eastAsia" w:ascii="仿宋" w:hAnsi="仿宋" w:eastAsia="仿宋" w:cs="仿宋"/>
          <w:b w:val="0"/>
          <w:bCs/>
          <w:color w:val="auto"/>
          <w:sz w:val="24"/>
        </w:rPr>
        <w:t>完成报名流程。</w:t>
      </w:r>
    </w:p>
    <w:p w14:paraId="3128E7CF">
      <w:pPr>
        <w:keepNext w:val="0"/>
        <w:keepLines w:val="0"/>
        <w:pageBreakBefore w:val="0"/>
        <w:kinsoku/>
        <w:topLinePunct w:val="0"/>
        <w:bidi w:val="0"/>
        <w:spacing w:after="0" w:line="560" w:lineRule="exact"/>
        <w:ind w:firstLine="480" w:firstLineChars="200"/>
        <w:textAlignment w:val="auto"/>
        <w:rPr>
          <w:rFonts w:hint="eastAsia" w:ascii="仿宋" w:hAnsi="仿宋" w:eastAsia="仿宋" w:cs="仿宋"/>
          <w:b w:val="0"/>
          <w:bCs/>
          <w:color w:val="auto"/>
          <w:sz w:val="24"/>
        </w:rPr>
      </w:pPr>
      <w:r>
        <w:rPr>
          <w:rFonts w:hint="eastAsia" w:ascii="仿宋" w:hAnsi="仿宋" w:eastAsia="仿宋" w:cs="仿宋"/>
          <w:b w:val="0"/>
          <w:bCs/>
          <w:color w:val="auto"/>
          <w:sz w:val="24"/>
        </w:rPr>
        <w:t>（二）如未在管理平台注册的竞投人，需登</w:t>
      </w:r>
      <w:r>
        <w:rPr>
          <w:rFonts w:hint="eastAsia" w:ascii="仿宋" w:hAnsi="仿宋" w:eastAsia="仿宋" w:cs="仿宋"/>
          <w:b w:val="0"/>
          <w:bCs/>
          <w:color w:val="auto"/>
          <w:sz w:val="24"/>
          <w:lang w:eastAsia="zh-CN"/>
        </w:rPr>
        <w:t>录</w:t>
      </w:r>
      <w:r>
        <w:rPr>
          <w:rFonts w:hint="eastAsia" w:ascii="仿宋" w:hAnsi="仿宋" w:eastAsia="仿宋" w:cs="仿宋"/>
          <w:b w:val="0"/>
          <w:bCs/>
          <w:color w:val="auto"/>
          <w:sz w:val="24"/>
        </w:rPr>
        <w:t>广州市天河区农村集体资产管理平台http://szjy.thnet.gov.cn/或</w:t>
      </w:r>
      <w:r>
        <w:rPr>
          <w:rFonts w:hint="eastAsia" w:ascii="仿宋" w:hAnsi="仿宋" w:eastAsia="仿宋" w:cs="仿宋"/>
          <w:b w:val="0"/>
          <w:bCs/>
          <w:color w:val="auto"/>
          <w:sz w:val="24"/>
          <w:lang w:eastAsia="zh-CN"/>
        </w:rPr>
        <w:t>关注</w:t>
      </w:r>
      <w:r>
        <w:rPr>
          <w:rFonts w:hint="eastAsia" w:ascii="仿宋" w:hAnsi="仿宋" w:eastAsia="仿宋" w:cs="仿宋"/>
          <w:b w:val="0"/>
          <w:bCs/>
          <w:color w:val="auto"/>
          <w:sz w:val="24"/>
        </w:rPr>
        <w:t>“天河农村集体资产交易”微信公众号进行用户注册，首次注册的用户在完成网上注册资料填写，待审核通过后，可在【网上竞投】模块中</w:t>
      </w:r>
      <w:r>
        <w:rPr>
          <w:rFonts w:hint="eastAsia" w:ascii="仿宋" w:hAnsi="仿宋" w:eastAsia="仿宋" w:cs="仿宋"/>
          <w:b w:val="0"/>
          <w:bCs/>
          <w:color w:val="auto"/>
          <w:sz w:val="24"/>
          <w:lang w:eastAsia="zh-CN"/>
        </w:rPr>
        <w:t>选择意向</w:t>
      </w:r>
      <w:r>
        <w:rPr>
          <w:rFonts w:hint="eastAsia" w:ascii="仿宋" w:hAnsi="仿宋" w:eastAsia="仿宋" w:cs="仿宋"/>
          <w:b w:val="0"/>
          <w:bCs/>
          <w:color w:val="auto"/>
          <w:sz w:val="24"/>
        </w:rPr>
        <w:t>项目进行报名。</w:t>
      </w:r>
    </w:p>
    <w:p w14:paraId="72CF397F">
      <w:pPr>
        <w:keepNext w:val="0"/>
        <w:keepLines w:val="0"/>
        <w:pageBreakBefore w:val="0"/>
        <w:kinsoku/>
        <w:topLinePunct w:val="0"/>
        <w:bidi w:val="0"/>
        <w:spacing w:after="0" w:line="560" w:lineRule="exact"/>
        <w:textAlignment w:val="auto"/>
        <w:rPr>
          <w:rFonts w:hint="eastAsia" w:ascii="仿宋" w:hAnsi="仿宋" w:eastAsia="仿宋" w:cs="仿宋"/>
          <w:b/>
          <w:bCs w:val="0"/>
          <w:color w:val="auto"/>
          <w:sz w:val="24"/>
        </w:rPr>
      </w:pPr>
      <w:r>
        <w:rPr>
          <w:rFonts w:hint="eastAsia" w:ascii="仿宋" w:hAnsi="仿宋" w:eastAsia="仿宋" w:cs="仿宋"/>
          <w:b/>
          <w:bCs w:val="0"/>
          <w:color w:val="auto"/>
          <w:sz w:val="24"/>
        </w:rPr>
        <w:t>三、交易保证金</w:t>
      </w:r>
    </w:p>
    <w:p w14:paraId="1302A8F0">
      <w:pPr>
        <w:keepNext w:val="0"/>
        <w:keepLines w:val="0"/>
        <w:pageBreakBefore w:val="0"/>
        <w:kinsoku/>
        <w:topLinePunct w:val="0"/>
        <w:bidi w:val="0"/>
        <w:spacing w:after="0" w:line="560" w:lineRule="exact"/>
        <w:ind w:firstLine="480" w:firstLineChars="200"/>
        <w:textAlignment w:val="auto"/>
        <w:rPr>
          <w:rFonts w:hint="eastAsia" w:ascii="仿宋" w:hAnsi="仿宋" w:eastAsia="仿宋" w:cs="仿宋"/>
          <w:b w:val="0"/>
          <w:bCs/>
          <w:color w:val="auto"/>
          <w:sz w:val="24"/>
        </w:rPr>
      </w:pPr>
      <w:r>
        <w:rPr>
          <w:rFonts w:hint="eastAsia" w:ascii="仿宋" w:hAnsi="仿宋" w:eastAsia="仿宋" w:cs="仿宋"/>
          <w:b w:val="0"/>
          <w:bCs/>
          <w:color w:val="auto"/>
          <w:sz w:val="24"/>
        </w:rPr>
        <w:t>（一）竞投人必须</w:t>
      </w:r>
      <w:r>
        <w:rPr>
          <w:rFonts w:hint="eastAsia" w:ascii="仿宋" w:hAnsi="仿宋" w:eastAsia="仿宋" w:cs="仿宋"/>
          <w:b w:val="0"/>
          <w:bCs/>
          <w:color w:val="auto"/>
          <w:sz w:val="24"/>
          <w:lang w:eastAsia="zh-CN"/>
        </w:rPr>
        <w:t>按照</w:t>
      </w:r>
      <w:r>
        <w:rPr>
          <w:rFonts w:hint="eastAsia" w:ascii="仿宋" w:hAnsi="仿宋" w:eastAsia="仿宋" w:cs="仿宋"/>
          <w:b w:val="0"/>
          <w:bCs/>
          <w:color w:val="auto"/>
          <w:sz w:val="24"/>
        </w:rPr>
        <w:t>本《交易文件》的交易保证金</w:t>
      </w:r>
      <w:r>
        <w:rPr>
          <w:rFonts w:hint="eastAsia" w:ascii="仿宋" w:hAnsi="仿宋" w:eastAsia="仿宋" w:cs="仿宋"/>
          <w:b w:val="0"/>
          <w:bCs/>
          <w:color w:val="auto"/>
          <w:sz w:val="24"/>
          <w:lang w:eastAsia="zh-CN"/>
        </w:rPr>
        <w:t>金额</w:t>
      </w:r>
      <w:r>
        <w:rPr>
          <w:rFonts w:hint="eastAsia" w:ascii="仿宋" w:hAnsi="仿宋" w:eastAsia="仿宋" w:cs="仿宋"/>
          <w:b w:val="0"/>
          <w:bCs/>
          <w:color w:val="auto"/>
          <w:sz w:val="24"/>
        </w:rPr>
        <w:t>要求及</w:t>
      </w:r>
      <w:r>
        <w:rPr>
          <w:rFonts w:hint="eastAsia" w:ascii="仿宋" w:hAnsi="仿宋" w:eastAsia="仿宋" w:cs="仿宋"/>
          <w:b w:val="0"/>
          <w:bCs/>
          <w:color w:val="auto"/>
          <w:sz w:val="24"/>
          <w:lang w:eastAsia="zh-CN"/>
        </w:rPr>
        <w:t>本项目报名界面中显示的</w:t>
      </w:r>
      <w:r>
        <w:rPr>
          <w:rFonts w:hint="eastAsia" w:ascii="仿宋" w:hAnsi="仿宋" w:eastAsia="仿宋" w:cs="仿宋"/>
          <w:b/>
          <w:bCs w:val="0"/>
          <w:color w:val="auto"/>
          <w:sz w:val="24"/>
          <w:lang w:val="en-US" w:eastAsia="zh-CN"/>
        </w:rPr>
        <w:t>27位</w:t>
      </w:r>
      <w:r>
        <w:rPr>
          <w:rFonts w:hint="eastAsia" w:ascii="仿宋" w:hAnsi="仿宋" w:eastAsia="仿宋" w:cs="仿宋"/>
          <w:b w:val="0"/>
          <w:bCs/>
          <w:color w:val="auto"/>
          <w:sz w:val="24"/>
        </w:rPr>
        <w:t>银行</w:t>
      </w:r>
      <w:r>
        <w:rPr>
          <w:rFonts w:hint="eastAsia" w:ascii="仿宋" w:hAnsi="仿宋" w:eastAsia="仿宋" w:cs="仿宋"/>
          <w:b w:val="0"/>
          <w:bCs/>
          <w:color w:val="auto"/>
          <w:sz w:val="24"/>
          <w:lang w:eastAsia="zh-CN"/>
        </w:rPr>
        <w:t>收款</w:t>
      </w:r>
      <w:r>
        <w:rPr>
          <w:rFonts w:hint="eastAsia" w:ascii="仿宋" w:hAnsi="仿宋" w:eastAsia="仿宋" w:cs="仿宋"/>
          <w:b w:val="0"/>
          <w:bCs/>
          <w:color w:val="auto"/>
          <w:sz w:val="24"/>
        </w:rPr>
        <w:t>账号，确保交易保证金在报名结束前一次性全额到达项目指定账户，交纳方式：银行转账</w:t>
      </w:r>
      <w:r>
        <w:rPr>
          <w:rFonts w:hint="eastAsia" w:ascii="仿宋" w:hAnsi="仿宋" w:eastAsia="仿宋" w:cs="仿宋"/>
          <w:b w:val="0"/>
          <w:bCs/>
          <w:color w:val="auto"/>
          <w:sz w:val="24"/>
          <w:lang w:eastAsia="zh-CN"/>
        </w:rPr>
        <w:t>（仅限于通过银行的渠道进行转账，包括手机银行、网上银行、柜台转账等，</w:t>
      </w:r>
      <w:r>
        <w:rPr>
          <w:rFonts w:hint="eastAsia" w:ascii="仿宋" w:hAnsi="仿宋" w:eastAsia="仿宋" w:cs="仿宋"/>
          <w:b w:val="0"/>
          <w:bCs/>
          <w:color w:val="auto"/>
          <w:sz w:val="24"/>
          <w:highlight w:val="none"/>
          <w:lang w:eastAsia="zh-CN"/>
        </w:rPr>
        <w:t>拒收支付宝转账、微信转账、现金存款</w:t>
      </w: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rPr>
        <w:t>。</w:t>
      </w:r>
    </w:p>
    <w:p w14:paraId="6EB3986B">
      <w:pPr>
        <w:keepNext w:val="0"/>
        <w:keepLines w:val="0"/>
        <w:pageBreakBefore w:val="0"/>
        <w:kinsoku/>
        <w:topLinePunct w:val="0"/>
        <w:bidi w:val="0"/>
        <w:spacing w:after="0" w:line="560" w:lineRule="exact"/>
        <w:ind w:firstLine="480" w:firstLineChars="200"/>
        <w:textAlignment w:val="auto"/>
        <w:rPr>
          <w:rFonts w:hint="eastAsia" w:ascii="仿宋" w:hAnsi="仿宋" w:eastAsia="仿宋" w:cs="仿宋"/>
          <w:b w:val="0"/>
          <w:bCs/>
          <w:color w:val="auto"/>
          <w:sz w:val="24"/>
        </w:rPr>
      </w:pPr>
      <w:r>
        <w:rPr>
          <w:rFonts w:hint="eastAsia" w:ascii="仿宋" w:hAnsi="仿宋" w:eastAsia="仿宋" w:cs="仿宋"/>
          <w:b w:val="0"/>
          <w:bCs/>
          <w:color w:val="auto"/>
          <w:sz w:val="24"/>
        </w:rPr>
        <w:t>（二）一份交易保证金只能参加一宗交易竞投。</w:t>
      </w:r>
    </w:p>
    <w:p w14:paraId="1ABBA2E5">
      <w:pPr>
        <w:keepNext w:val="0"/>
        <w:keepLines w:val="0"/>
        <w:pageBreakBefore w:val="0"/>
        <w:kinsoku/>
        <w:topLinePunct w:val="0"/>
        <w:bidi w:val="0"/>
        <w:spacing w:after="0" w:line="560" w:lineRule="exact"/>
        <w:ind w:firstLine="480" w:firstLineChars="200"/>
        <w:textAlignment w:val="auto"/>
        <w:rPr>
          <w:rFonts w:hint="eastAsia" w:ascii="仿宋" w:hAnsi="仿宋" w:eastAsia="仿宋" w:cs="仿宋"/>
          <w:b w:val="0"/>
          <w:bCs/>
          <w:color w:val="auto"/>
          <w:sz w:val="24"/>
        </w:rPr>
      </w:pPr>
      <w:r>
        <w:rPr>
          <w:rFonts w:hint="eastAsia" w:ascii="仿宋" w:hAnsi="仿宋" w:eastAsia="仿宋" w:cs="仿宋"/>
          <w:b w:val="0"/>
          <w:bCs/>
          <w:color w:val="auto"/>
          <w:sz w:val="24"/>
        </w:rPr>
        <w:t>（三）竞投人支付交易保证金的户名</w:t>
      </w:r>
      <w:r>
        <w:rPr>
          <w:rFonts w:hint="eastAsia" w:ascii="仿宋" w:hAnsi="仿宋" w:eastAsia="仿宋" w:cs="仿宋"/>
          <w:b w:val="0"/>
          <w:bCs/>
          <w:color w:val="auto"/>
          <w:sz w:val="24"/>
          <w:lang w:eastAsia="zh-CN"/>
        </w:rPr>
        <w:t>必须</w:t>
      </w:r>
      <w:r>
        <w:rPr>
          <w:rFonts w:hint="eastAsia" w:ascii="仿宋" w:hAnsi="仿宋" w:eastAsia="仿宋" w:cs="仿宋"/>
          <w:b w:val="0"/>
          <w:bCs/>
          <w:color w:val="auto"/>
          <w:sz w:val="24"/>
        </w:rPr>
        <w:t>与报名名称及实际参加竞投的竞投人名称</w:t>
      </w:r>
      <w:r>
        <w:rPr>
          <w:rFonts w:hint="eastAsia" w:ascii="仿宋" w:hAnsi="仿宋" w:eastAsia="仿宋" w:cs="仿宋"/>
          <w:b w:val="0"/>
          <w:bCs/>
          <w:color w:val="auto"/>
          <w:sz w:val="24"/>
          <w:lang w:eastAsia="zh-CN"/>
        </w:rPr>
        <w:t>一致</w:t>
      </w:r>
      <w:r>
        <w:rPr>
          <w:rFonts w:hint="eastAsia" w:ascii="仿宋" w:hAnsi="仿宋" w:eastAsia="仿宋" w:cs="仿宋"/>
          <w:b w:val="0"/>
          <w:bCs/>
          <w:color w:val="auto"/>
          <w:sz w:val="24"/>
        </w:rPr>
        <w:t>，</w:t>
      </w:r>
      <w:r>
        <w:rPr>
          <w:rFonts w:hint="eastAsia" w:ascii="仿宋" w:hAnsi="仿宋" w:eastAsia="仿宋" w:cs="仿宋"/>
          <w:b w:val="0"/>
          <w:bCs/>
          <w:color w:val="auto"/>
          <w:sz w:val="24"/>
          <w:lang w:eastAsia="zh-CN"/>
        </w:rPr>
        <w:t>否则</w:t>
      </w:r>
      <w:r>
        <w:rPr>
          <w:rFonts w:hint="eastAsia" w:ascii="仿宋" w:hAnsi="仿宋" w:eastAsia="仿宋" w:cs="仿宋"/>
          <w:b w:val="0"/>
          <w:bCs/>
          <w:color w:val="auto"/>
          <w:sz w:val="24"/>
        </w:rPr>
        <w:t>银行系统</w:t>
      </w:r>
      <w:r>
        <w:rPr>
          <w:rFonts w:hint="eastAsia" w:ascii="仿宋" w:hAnsi="仿宋" w:eastAsia="仿宋" w:cs="仿宋"/>
          <w:b w:val="0"/>
          <w:bCs/>
          <w:color w:val="auto"/>
          <w:sz w:val="24"/>
          <w:lang w:eastAsia="zh-CN"/>
        </w:rPr>
        <w:t>无法</w:t>
      </w:r>
      <w:r>
        <w:rPr>
          <w:rFonts w:hint="eastAsia" w:ascii="仿宋" w:hAnsi="仿宋" w:eastAsia="仿宋" w:cs="仿宋"/>
          <w:b w:val="0"/>
          <w:bCs/>
          <w:color w:val="auto"/>
          <w:sz w:val="24"/>
        </w:rPr>
        <w:t>匹配</w:t>
      </w:r>
      <w:r>
        <w:rPr>
          <w:rFonts w:hint="eastAsia" w:ascii="仿宋" w:hAnsi="仿宋" w:eastAsia="仿宋" w:cs="仿宋"/>
          <w:b w:val="0"/>
          <w:bCs/>
          <w:color w:val="auto"/>
          <w:sz w:val="24"/>
          <w:lang w:eastAsia="zh-CN"/>
        </w:rPr>
        <w:t>，银行系统匹配</w:t>
      </w:r>
      <w:r>
        <w:rPr>
          <w:rFonts w:hint="eastAsia" w:ascii="仿宋" w:hAnsi="仿宋" w:eastAsia="仿宋" w:cs="仿宋"/>
          <w:b w:val="0"/>
          <w:bCs/>
          <w:color w:val="auto"/>
          <w:sz w:val="24"/>
        </w:rPr>
        <w:t>不一致导致保证金无法到达指定帐号</w:t>
      </w:r>
      <w:r>
        <w:rPr>
          <w:rFonts w:hint="eastAsia" w:ascii="仿宋" w:hAnsi="仿宋" w:eastAsia="仿宋" w:cs="仿宋"/>
          <w:b w:val="0"/>
          <w:bCs/>
          <w:color w:val="auto"/>
          <w:sz w:val="24"/>
          <w:lang w:eastAsia="zh-CN"/>
        </w:rPr>
        <w:t>的</w:t>
      </w:r>
      <w:r>
        <w:rPr>
          <w:rFonts w:hint="eastAsia" w:ascii="仿宋" w:hAnsi="仿宋" w:eastAsia="仿宋" w:cs="仿宋"/>
          <w:b w:val="0"/>
          <w:bCs/>
          <w:color w:val="auto"/>
          <w:sz w:val="24"/>
        </w:rPr>
        <w:t>，</w:t>
      </w:r>
      <w:r>
        <w:rPr>
          <w:rFonts w:hint="eastAsia" w:ascii="仿宋" w:hAnsi="仿宋" w:eastAsia="仿宋" w:cs="仿宋"/>
          <w:b w:val="0"/>
          <w:bCs/>
          <w:color w:val="auto"/>
          <w:sz w:val="24"/>
          <w:lang w:eastAsia="zh-CN"/>
        </w:rPr>
        <w:t>均无法完成</w:t>
      </w:r>
      <w:r>
        <w:rPr>
          <w:rFonts w:hint="eastAsia" w:ascii="仿宋" w:hAnsi="仿宋" w:eastAsia="仿宋" w:cs="仿宋"/>
          <w:b w:val="0"/>
          <w:bCs/>
          <w:color w:val="auto"/>
          <w:sz w:val="24"/>
        </w:rPr>
        <w:t>报名。</w:t>
      </w:r>
    </w:p>
    <w:p w14:paraId="1511D862">
      <w:pPr>
        <w:keepNext w:val="0"/>
        <w:keepLines w:val="0"/>
        <w:pageBreakBefore w:val="0"/>
        <w:kinsoku/>
        <w:topLinePunct w:val="0"/>
        <w:bidi w:val="0"/>
        <w:spacing w:after="0" w:line="560" w:lineRule="exact"/>
        <w:ind w:firstLine="480" w:firstLineChars="200"/>
        <w:textAlignment w:val="auto"/>
        <w:rPr>
          <w:rFonts w:hint="eastAsia" w:ascii="仿宋" w:hAnsi="仿宋" w:eastAsia="仿宋" w:cs="仿宋"/>
          <w:b w:val="0"/>
          <w:bCs/>
          <w:color w:val="auto"/>
          <w:sz w:val="24"/>
        </w:rPr>
      </w:pPr>
      <w:r>
        <w:rPr>
          <w:rFonts w:hint="eastAsia" w:ascii="仿宋" w:hAnsi="仿宋" w:eastAsia="仿宋" w:cs="仿宋"/>
          <w:b w:val="0"/>
          <w:bCs/>
          <w:color w:val="auto"/>
          <w:sz w:val="24"/>
        </w:rPr>
        <w:t>（四）逾期未交纳交易保证金的，或交易保证金款项未在指定日期前到账的，均视为未按要求交纳交易保证金，</w:t>
      </w:r>
      <w:r>
        <w:rPr>
          <w:rFonts w:hint="eastAsia" w:ascii="仿宋" w:hAnsi="仿宋" w:eastAsia="仿宋" w:cs="仿宋"/>
          <w:b w:val="0"/>
          <w:bCs/>
          <w:color w:val="auto"/>
          <w:sz w:val="24"/>
          <w:lang w:eastAsia="zh-CN"/>
        </w:rPr>
        <w:t>均</w:t>
      </w:r>
      <w:r>
        <w:rPr>
          <w:rFonts w:hint="eastAsia" w:ascii="仿宋" w:hAnsi="仿宋" w:eastAsia="仿宋" w:cs="仿宋"/>
          <w:b w:val="0"/>
          <w:bCs/>
          <w:color w:val="auto"/>
          <w:sz w:val="24"/>
        </w:rPr>
        <w:t>无法</w:t>
      </w:r>
      <w:r>
        <w:rPr>
          <w:rFonts w:hint="eastAsia" w:ascii="仿宋" w:hAnsi="仿宋" w:eastAsia="仿宋" w:cs="仿宋"/>
          <w:b w:val="0"/>
          <w:bCs/>
          <w:color w:val="auto"/>
          <w:sz w:val="24"/>
          <w:lang w:eastAsia="zh-CN"/>
        </w:rPr>
        <w:t>完成</w:t>
      </w:r>
      <w:r>
        <w:rPr>
          <w:rFonts w:hint="eastAsia" w:ascii="仿宋" w:hAnsi="仿宋" w:eastAsia="仿宋" w:cs="仿宋"/>
          <w:b w:val="0"/>
          <w:bCs/>
          <w:color w:val="auto"/>
          <w:sz w:val="24"/>
        </w:rPr>
        <w:t>报名。                                         </w:t>
      </w:r>
    </w:p>
    <w:p w14:paraId="0CBF9FA9">
      <w:pPr>
        <w:keepNext w:val="0"/>
        <w:keepLines w:val="0"/>
        <w:pageBreakBefore w:val="0"/>
        <w:kinsoku/>
        <w:topLinePunct w:val="0"/>
        <w:bidi w:val="0"/>
        <w:spacing w:after="0" w:line="560" w:lineRule="exact"/>
        <w:ind w:firstLine="480" w:firstLineChars="200"/>
        <w:textAlignment w:val="auto"/>
        <w:rPr>
          <w:rFonts w:hint="eastAsia" w:ascii="仿宋" w:hAnsi="仿宋" w:eastAsia="仿宋" w:cs="仿宋"/>
          <w:b w:val="0"/>
          <w:bCs/>
          <w:color w:val="auto"/>
          <w:sz w:val="24"/>
        </w:rPr>
      </w:pPr>
      <w:r>
        <w:rPr>
          <w:rFonts w:hint="eastAsia" w:ascii="仿宋" w:hAnsi="仿宋" w:eastAsia="仿宋" w:cs="仿宋"/>
          <w:b w:val="0"/>
          <w:bCs/>
          <w:color w:val="auto"/>
          <w:sz w:val="24"/>
        </w:rPr>
        <w:t>（五）竞投人需在交易系统报名界面正确填写具体的转账信息并上传转账凭证。</w:t>
      </w:r>
    </w:p>
    <w:p w14:paraId="62ACFE6C">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 w:hAnsi="仿宋" w:eastAsia="仿宋" w:cs="仿宋"/>
          <w:b/>
          <w:color w:val="auto"/>
          <w:sz w:val="24"/>
        </w:rPr>
      </w:pPr>
      <w:r>
        <w:rPr>
          <w:rFonts w:hint="eastAsia" w:ascii="仿宋" w:hAnsi="仿宋" w:eastAsia="仿宋" w:cs="仿宋"/>
          <w:b/>
          <w:color w:val="auto"/>
          <w:sz w:val="24"/>
        </w:rPr>
        <w:t>四、竞投人资格审核</w:t>
      </w:r>
    </w:p>
    <w:p w14:paraId="3330E168">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仿宋" w:hAnsi="仿宋" w:eastAsia="仿宋" w:cs="仿宋"/>
          <w:b/>
          <w:color w:val="auto"/>
          <w:sz w:val="24"/>
        </w:rPr>
      </w:pPr>
      <w:r>
        <w:rPr>
          <w:rFonts w:hint="eastAsia" w:ascii="仿宋" w:hAnsi="仿宋" w:eastAsia="仿宋" w:cs="仿宋"/>
          <w:bCs/>
          <w:color w:val="auto"/>
          <w:sz w:val="24"/>
        </w:rPr>
        <w:t>（一）项目业主单位</w:t>
      </w:r>
      <w:r>
        <w:rPr>
          <w:rFonts w:hint="eastAsia" w:ascii="仿宋" w:hAnsi="仿宋" w:eastAsia="仿宋" w:cs="仿宋"/>
          <w:b/>
          <w:bCs/>
          <w:color w:val="auto"/>
          <w:sz w:val="24"/>
        </w:rPr>
        <w:t>无其他资质条件要求</w:t>
      </w:r>
      <w:r>
        <w:rPr>
          <w:rFonts w:hint="eastAsia" w:ascii="仿宋" w:hAnsi="仿宋" w:eastAsia="仿宋" w:cs="仿宋"/>
          <w:bCs/>
          <w:color w:val="auto"/>
          <w:sz w:val="24"/>
        </w:rPr>
        <w:t>的项目，竞投人需在</w:t>
      </w:r>
      <w:r>
        <w:rPr>
          <w:rFonts w:hint="eastAsia" w:ascii="仿宋" w:hAnsi="仿宋" w:eastAsia="仿宋" w:cs="仿宋"/>
          <w:bCs/>
          <w:color w:val="auto"/>
          <w:sz w:val="24"/>
          <w:lang w:eastAsia="zh-CN"/>
        </w:rPr>
        <w:t>报名界面中</w:t>
      </w:r>
      <w:r>
        <w:rPr>
          <w:rFonts w:hint="eastAsia" w:ascii="仿宋" w:hAnsi="仿宋" w:eastAsia="仿宋" w:cs="仿宋"/>
          <w:bCs/>
          <w:color w:val="auto"/>
          <w:sz w:val="24"/>
        </w:rPr>
        <w:t>正确填写转账信息</w:t>
      </w:r>
      <w:r>
        <w:rPr>
          <w:rFonts w:hint="eastAsia" w:ascii="仿宋" w:hAnsi="仿宋" w:eastAsia="仿宋" w:cs="仿宋"/>
          <w:bCs/>
          <w:color w:val="auto"/>
          <w:sz w:val="24"/>
          <w:highlight w:val="none"/>
          <w:lang w:eastAsia="zh-CN"/>
        </w:rPr>
        <w:t>并</w:t>
      </w:r>
      <w:r>
        <w:rPr>
          <w:rFonts w:hint="eastAsia" w:ascii="仿宋" w:hAnsi="仿宋" w:eastAsia="仿宋" w:cs="仿宋"/>
          <w:bCs/>
          <w:color w:val="auto"/>
          <w:sz w:val="24"/>
        </w:rPr>
        <w:t>上传转账凭证，</w:t>
      </w:r>
      <w:r>
        <w:rPr>
          <w:rFonts w:hint="eastAsia" w:ascii="仿宋" w:hAnsi="仿宋" w:eastAsia="仿宋" w:cs="仿宋"/>
          <w:bCs/>
          <w:color w:val="auto"/>
          <w:sz w:val="24"/>
          <w:lang w:eastAsia="zh-CN"/>
        </w:rPr>
        <w:t>完成报名流程</w:t>
      </w:r>
      <w:r>
        <w:rPr>
          <w:rFonts w:hint="eastAsia" w:ascii="仿宋" w:hAnsi="仿宋" w:eastAsia="仿宋" w:cs="仿宋"/>
          <w:bCs/>
          <w:color w:val="auto"/>
          <w:sz w:val="24"/>
        </w:rPr>
        <w:t>。</w:t>
      </w:r>
    </w:p>
    <w:p w14:paraId="7697B75C">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bCs/>
          <w:color w:val="auto"/>
          <w:sz w:val="24"/>
        </w:rPr>
        <w:t>（二）项目业主单位</w:t>
      </w:r>
      <w:r>
        <w:rPr>
          <w:rFonts w:hint="eastAsia" w:ascii="仿宋" w:hAnsi="仿宋" w:eastAsia="仿宋" w:cs="仿宋"/>
          <w:b/>
          <w:bCs/>
          <w:color w:val="auto"/>
          <w:sz w:val="24"/>
        </w:rPr>
        <w:t>有其他资质条件要求</w:t>
      </w:r>
      <w:r>
        <w:rPr>
          <w:rFonts w:hint="eastAsia" w:ascii="仿宋" w:hAnsi="仿宋" w:eastAsia="仿宋" w:cs="仿宋"/>
          <w:bCs/>
          <w:color w:val="auto"/>
          <w:sz w:val="24"/>
        </w:rPr>
        <w:t>的项目，竞投人需</w:t>
      </w:r>
      <w:r>
        <w:rPr>
          <w:rFonts w:hint="eastAsia" w:ascii="仿宋" w:hAnsi="仿宋" w:eastAsia="仿宋" w:cs="仿宋"/>
          <w:bCs/>
          <w:color w:val="auto"/>
          <w:sz w:val="24"/>
          <w:lang w:eastAsia="zh-CN"/>
        </w:rPr>
        <w:t>在报名界面中正确填写转账信息，上传转账凭证及其他资质条件要求的相应资料，等待审核，并在</w:t>
      </w:r>
      <w:r>
        <w:rPr>
          <w:rFonts w:hint="eastAsia" w:ascii="仿宋" w:hAnsi="仿宋" w:eastAsia="仿宋" w:cs="仿宋"/>
          <w:color w:val="auto"/>
          <w:sz w:val="24"/>
        </w:rPr>
        <w:t>报名时间</w:t>
      </w:r>
      <w:r>
        <w:rPr>
          <w:rFonts w:hint="eastAsia" w:ascii="仿宋" w:hAnsi="仿宋" w:eastAsia="仿宋" w:cs="仿宋"/>
          <w:color w:val="auto"/>
          <w:sz w:val="24"/>
          <w:lang w:eastAsia="zh-CN"/>
        </w:rPr>
        <w:t>内</w:t>
      </w:r>
      <w:r>
        <w:rPr>
          <w:rFonts w:hint="eastAsia" w:ascii="仿宋" w:hAnsi="仿宋" w:eastAsia="仿宋" w:cs="仿宋"/>
          <w:color w:val="auto"/>
          <w:sz w:val="24"/>
        </w:rPr>
        <w:t>的周一至周五上午9:00--12:00，下午1:00--5:00（法定节假日除外）携带</w:t>
      </w:r>
      <w:r>
        <w:rPr>
          <w:rFonts w:hint="eastAsia" w:ascii="仿宋" w:hAnsi="仿宋" w:eastAsia="仿宋" w:cs="仿宋"/>
          <w:color w:val="auto"/>
          <w:sz w:val="24"/>
          <w:highlight w:val="none"/>
          <w:lang w:eastAsia="zh-CN"/>
        </w:rPr>
        <w:t>项目业主单位要求提交的所有</w:t>
      </w:r>
      <w:r>
        <w:rPr>
          <w:rFonts w:hint="eastAsia" w:ascii="仿宋" w:hAnsi="仿宋" w:eastAsia="仿宋" w:cs="仿宋"/>
          <w:color w:val="auto"/>
          <w:sz w:val="24"/>
          <w:highlight w:val="none"/>
        </w:rPr>
        <w:t>资料</w:t>
      </w:r>
      <w:r>
        <w:rPr>
          <w:rFonts w:hint="eastAsia" w:ascii="仿宋" w:hAnsi="仿宋" w:eastAsia="仿宋" w:cs="仿宋"/>
          <w:color w:val="auto"/>
          <w:sz w:val="24"/>
        </w:rPr>
        <w:t>前往</w:t>
      </w:r>
      <w:r>
        <w:rPr>
          <w:rFonts w:hint="eastAsia" w:ascii="仿宋" w:hAnsi="仿宋" w:eastAsia="仿宋" w:cs="仿宋"/>
          <w:color w:val="auto"/>
          <w:sz w:val="24"/>
          <w:lang w:eastAsia="zh-CN"/>
        </w:rPr>
        <w:t>天河区农村集体资产</w:t>
      </w:r>
      <w:r>
        <w:rPr>
          <w:rFonts w:hint="eastAsia" w:ascii="仿宋" w:hAnsi="仿宋" w:eastAsia="仿宋" w:cs="仿宋"/>
          <w:color w:val="auto"/>
          <w:sz w:val="24"/>
        </w:rPr>
        <w:t>交易中心进行审核</w:t>
      </w:r>
      <w:r>
        <w:rPr>
          <w:rFonts w:hint="eastAsia" w:ascii="仿宋" w:hAnsi="仿宋" w:eastAsia="仿宋" w:cs="仿宋"/>
          <w:color w:val="auto"/>
          <w:sz w:val="24"/>
          <w:lang w:eastAsia="zh-CN"/>
        </w:rPr>
        <w:t>，资料审核无误后，审核通过，报名成功</w:t>
      </w:r>
      <w:r>
        <w:rPr>
          <w:rFonts w:hint="eastAsia" w:ascii="仿宋" w:hAnsi="仿宋" w:eastAsia="仿宋" w:cs="仿宋"/>
          <w:color w:val="auto"/>
          <w:sz w:val="24"/>
        </w:rPr>
        <w:t>。</w:t>
      </w:r>
      <w:r>
        <w:rPr>
          <w:rFonts w:hint="eastAsia" w:ascii="仿宋" w:hAnsi="仿宋" w:eastAsia="仿宋" w:cs="仿宋"/>
          <w:color w:val="auto"/>
          <w:sz w:val="24"/>
          <w:lang w:eastAsia="zh-CN"/>
        </w:rPr>
        <w:t>（注：需提交的相关资料详见“第一部分</w:t>
      </w:r>
      <w:r>
        <w:rPr>
          <w:rFonts w:hint="eastAsia" w:ascii="仿宋" w:hAnsi="仿宋" w:eastAsia="仿宋" w:cs="仿宋"/>
          <w:color w:val="auto"/>
          <w:sz w:val="24"/>
          <w:lang w:val="en-US" w:eastAsia="zh-CN"/>
        </w:rPr>
        <w:t xml:space="preserve"> 竞投邀请函</w:t>
      </w:r>
      <w:r>
        <w:rPr>
          <w:rFonts w:hint="eastAsia" w:ascii="仿宋" w:hAnsi="仿宋" w:eastAsia="仿宋" w:cs="仿宋"/>
          <w:color w:val="auto"/>
          <w:sz w:val="24"/>
          <w:lang w:eastAsia="zh-CN"/>
        </w:rPr>
        <w:t>”第四点）</w:t>
      </w:r>
    </w:p>
    <w:p w14:paraId="136F040B">
      <w:pPr>
        <w:keepNext w:val="0"/>
        <w:keepLines w:val="0"/>
        <w:pageBreakBefore w:val="0"/>
        <w:kinsoku/>
        <w:topLinePunct w:val="0"/>
        <w:bidi w:val="0"/>
        <w:spacing w:after="0" w:line="560" w:lineRule="exact"/>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五、竞得人</w:t>
      </w:r>
      <w:r>
        <w:rPr>
          <w:rFonts w:hint="eastAsia" w:ascii="仿宋" w:hAnsi="仿宋" w:eastAsia="仿宋" w:cs="仿宋"/>
          <w:b/>
          <w:color w:val="auto"/>
          <w:sz w:val="24"/>
          <w:highlight w:val="none"/>
          <w:lang w:eastAsia="zh-CN"/>
        </w:rPr>
        <w:t>交易确认</w:t>
      </w:r>
    </w:p>
    <w:p w14:paraId="47EC974E">
      <w:pPr>
        <w:keepNext w:val="0"/>
        <w:keepLines w:val="0"/>
        <w:pageBreakBefore w:val="0"/>
        <w:kinsoku/>
        <w:topLinePunct w:val="0"/>
        <w:bidi w:val="0"/>
        <w:spacing w:after="0" w:line="56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竞投人成功竞得的，需在竞得后2个工作日内</w:t>
      </w:r>
      <w:r>
        <w:rPr>
          <w:rFonts w:hint="eastAsia" w:ascii="仿宋" w:hAnsi="仿宋" w:eastAsia="仿宋" w:cs="仿宋"/>
          <w:bCs/>
          <w:color w:val="auto"/>
          <w:sz w:val="24"/>
          <w:highlight w:val="none"/>
          <w:lang w:eastAsia="zh-CN"/>
        </w:rPr>
        <w:t>携</w:t>
      </w:r>
      <w:r>
        <w:rPr>
          <w:rFonts w:hint="eastAsia" w:ascii="仿宋" w:hAnsi="仿宋" w:eastAsia="仿宋" w:cs="仿宋"/>
          <w:bCs/>
          <w:color w:val="auto"/>
          <w:sz w:val="24"/>
          <w:highlight w:val="none"/>
        </w:rPr>
        <w:t>带相关资料到</w:t>
      </w:r>
      <w:r>
        <w:rPr>
          <w:rFonts w:hint="eastAsia" w:ascii="仿宋" w:hAnsi="仿宋" w:eastAsia="仿宋" w:cs="仿宋"/>
          <w:bCs/>
          <w:color w:val="auto"/>
          <w:sz w:val="24"/>
          <w:highlight w:val="none"/>
          <w:lang w:eastAsia="zh-CN"/>
        </w:rPr>
        <w:t>天河区农村集体资产交易中心</w:t>
      </w:r>
      <w:r>
        <w:rPr>
          <w:rFonts w:hint="eastAsia" w:ascii="仿宋" w:hAnsi="仿宋" w:eastAsia="仿宋" w:cs="仿宋"/>
          <w:bCs/>
          <w:color w:val="auto"/>
          <w:sz w:val="24"/>
          <w:highlight w:val="none"/>
        </w:rPr>
        <w:t>签订</w:t>
      </w:r>
      <w:r>
        <w:rPr>
          <w:rFonts w:hint="eastAsia" w:ascii="仿宋" w:hAnsi="仿宋" w:eastAsia="仿宋" w:cs="仿宋"/>
          <w:bCs/>
          <w:color w:val="auto"/>
          <w:sz w:val="24"/>
          <w:highlight w:val="none"/>
          <w:lang w:eastAsia="zh-CN"/>
        </w:rPr>
        <w:t>纸质</w:t>
      </w:r>
      <w:r>
        <w:rPr>
          <w:rFonts w:hint="eastAsia" w:ascii="仿宋" w:hAnsi="仿宋" w:eastAsia="仿宋" w:cs="仿宋"/>
          <w:bCs/>
          <w:color w:val="auto"/>
          <w:sz w:val="24"/>
          <w:highlight w:val="none"/>
        </w:rPr>
        <w:t>网上交易平台服务协议</w:t>
      </w:r>
      <w:r>
        <w:rPr>
          <w:rFonts w:hint="eastAsia" w:ascii="仿宋" w:hAnsi="仿宋" w:eastAsia="仿宋" w:cs="仿宋"/>
          <w:bCs/>
          <w:color w:val="auto"/>
          <w:sz w:val="24"/>
          <w:highlight w:val="none"/>
          <w:lang w:eastAsia="zh-CN"/>
        </w:rPr>
        <w:t>及广州市天河区农村集体资产交易确认书</w:t>
      </w:r>
      <w:r>
        <w:rPr>
          <w:rFonts w:hint="eastAsia" w:ascii="仿宋" w:hAnsi="仿宋" w:eastAsia="仿宋" w:cs="仿宋"/>
          <w:bCs/>
          <w:color w:val="auto"/>
          <w:sz w:val="24"/>
          <w:highlight w:val="none"/>
        </w:rPr>
        <w:t>，受理时间：周一至周五上午9:00--12:00，下午1:00--5:00（法定节假日除外），未在规定时间内携带相关资料到天河区农村集体资产交易中心签订</w:t>
      </w:r>
      <w:r>
        <w:rPr>
          <w:rFonts w:hint="eastAsia" w:ascii="仿宋" w:hAnsi="仿宋" w:eastAsia="仿宋" w:cs="仿宋"/>
          <w:bCs/>
          <w:color w:val="auto"/>
          <w:sz w:val="24"/>
          <w:highlight w:val="none"/>
          <w:lang w:eastAsia="zh-CN"/>
        </w:rPr>
        <w:t>纸质</w:t>
      </w:r>
      <w:r>
        <w:rPr>
          <w:rFonts w:hint="eastAsia" w:ascii="仿宋" w:hAnsi="仿宋" w:eastAsia="仿宋" w:cs="仿宋"/>
          <w:bCs/>
          <w:color w:val="auto"/>
          <w:sz w:val="24"/>
          <w:highlight w:val="none"/>
        </w:rPr>
        <w:t>网上交易平台服务协议及</w:t>
      </w:r>
      <w:r>
        <w:rPr>
          <w:rFonts w:hint="eastAsia" w:ascii="仿宋" w:hAnsi="仿宋" w:eastAsia="仿宋" w:cs="仿宋"/>
          <w:bCs/>
          <w:color w:val="auto"/>
          <w:sz w:val="24"/>
          <w:highlight w:val="none"/>
          <w:lang w:eastAsia="zh-CN"/>
        </w:rPr>
        <w:t>广州市天河区农村集体资产</w:t>
      </w:r>
      <w:r>
        <w:rPr>
          <w:rFonts w:hint="eastAsia" w:ascii="仿宋" w:hAnsi="仿宋" w:eastAsia="仿宋" w:cs="仿宋"/>
          <w:bCs/>
          <w:color w:val="auto"/>
          <w:sz w:val="24"/>
          <w:highlight w:val="none"/>
        </w:rPr>
        <w:t>交易确认书的视为自动放弃竞得资格，交易保证金由天河区农村集体资产交易中心一次性全额不计息转交给项目业主单位，由项目业主单位予以</w:t>
      </w:r>
      <w:r>
        <w:rPr>
          <w:rFonts w:hint="eastAsia" w:ascii="仿宋" w:hAnsi="仿宋" w:eastAsia="仿宋" w:cs="仿宋"/>
          <w:bCs/>
          <w:color w:val="auto"/>
          <w:sz w:val="24"/>
          <w:highlight w:val="none"/>
          <w:lang w:eastAsia="zh-CN"/>
        </w:rPr>
        <w:t>没收</w:t>
      </w:r>
      <w:r>
        <w:rPr>
          <w:rFonts w:hint="eastAsia" w:ascii="仿宋" w:hAnsi="仿宋" w:eastAsia="仿宋" w:cs="仿宋"/>
          <w:bCs/>
          <w:color w:val="auto"/>
          <w:sz w:val="24"/>
          <w:highlight w:val="none"/>
        </w:rPr>
        <w:t>处理。竞得人凭广州市天河区农村集体资产交易确认书在规定时间内与项目业主单位签订合同。</w:t>
      </w:r>
    </w:p>
    <w:p w14:paraId="42BF9684">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480" w:firstLineChars="20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（一）</w:t>
      </w:r>
      <w:r>
        <w:rPr>
          <w:rFonts w:hint="eastAsia" w:ascii="仿宋" w:hAnsi="仿宋" w:eastAsia="仿宋" w:cs="仿宋"/>
          <w:bCs/>
          <w:color w:val="auto"/>
          <w:sz w:val="24"/>
          <w:highlight w:val="none"/>
        </w:rPr>
        <w:t>项目业主单位无其他资质条件要求的项目</w:t>
      </w:r>
      <w:r>
        <w:rPr>
          <w:rFonts w:hint="eastAsia" w:ascii="仿宋" w:hAnsi="仿宋" w:eastAsia="仿宋" w:cs="仿宋"/>
          <w:bCs/>
          <w:color w:val="auto"/>
          <w:sz w:val="24"/>
          <w:highlight w:val="none"/>
          <w:lang w:eastAsia="zh-CN"/>
        </w:rPr>
        <w:t>需提交以下相应资料：</w:t>
      </w:r>
    </w:p>
    <w:p w14:paraId="5EFF44A9">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480" w:firstLineChars="20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lang w:eastAsia="zh-CN"/>
        </w:rPr>
        <w:t>法人单位须提供加盖公章的单位营业执照及法定代表人居民身份证复印件（原件备查）；</w:t>
      </w:r>
    </w:p>
    <w:p w14:paraId="23943071">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480" w:firstLineChars="20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lang w:eastAsia="zh-CN"/>
        </w:rPr>
        <w:t>非法人企业须提供加盖公章的单位营业执照及负责人（投资人）居民身份证复印件（原件备查）；</w:t>
      </w:r>
    </w:p>
    <w:p w14:paraId="35C732BC">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480" w:firstLineChars="20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lang w:eastAsia="zh-CN"/>
        </w:rPr>
        <w:t>个体工商户须提供有效营业执照复印件及经营者居民身份证复印件（原件备查）；</w:t>
      </w:r>
    </w:p>
    <w:p w14:paraId="3482B15F">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480" w:firstLineChars="20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lang w:eastAsia="zh-CN"/>
        </w:rPr>
        <w:t>完全民事行为能力的自然人须提供居民身份证复印件（原件备查）。</w:t>
      </w:r>
    </w:p>
    <w:p w14:paraId="50C5F7E1">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注：法人单位、非法人企业须携带公章（仅用于现场盖章）</w:t>
      </w:r>
    </w:p>
    <w:p w14:paraId="201F7814">
      <w:pPr>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项目业主单位有其他资质条件要求的项目需携带以下相应资料：</w:t>
      </w:r>
    </w:p>
    <w:p w14:paraId="3930A609">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1、法人单位提供营业执照及法定代表人居民身份证原件；</w:t>
      </w:r>
    </w:p>
    <w:p w14:paraId="64CE42F9">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2、非法人企业提供营业执照及负责人（投资人）居民身份证原件；</w:t>
      </w:r>
    </w:p>
    <w:p w14:paraId="349BEBD8">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3、个体工商户提供有效营业执照及经营者居民身份证原件；</w:t>
      </w:r>
    </w:p>
    <w:p w14:paraId="334D7C69">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4、完全民事行为能力的自然人居民身份证原件。</w:t>
      </w:r>
    </w:p>
    <w:p w14:paraId="0E10EF1B">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eastAsia="zh-CN"/>
        </w:rPr>
        <w:t>注：法人单位、非法人企业须携带公章（仅用于现场盖章）</w:t>
      </w:r>
    </w:p>
    <w:p w14:paraId="4BBC1B24">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（三）竞投人授权委托他人签订纸质网上交易平台服务协议及广州市天河区农村集体资产交易确认书，受委托人须提交以下相应资料：</w:t>
      </w:r>
    </w:p>
    <w:p w14:paraId="76662340">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1.法人机构的法定代表人授权的受委托人须提供授权委托书原件（加盖公章）及受委托人居民身份证复印件（原件备查）；</w:t>
      </w:r>
    </w:p>
    <w:p w14:paraId="3E868CBC">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2、非法人企业的负责人（投资人）授权的受委托人须提供授权委托书原件（加盖公章）及受委托人居民身份证复印件（原件备查）；</w:t>
      </w:r>
    </w:p>
    <w:p w14:paraId="6179D296">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3.个体工商户经营者授权的受委托人须提供授权委托书原件（摁委托人手印）及受委托人居民身份证复印件（原件备查）；</w:t>
      </w:r>
    </w:p>
    <w:p w14:paraId="6E95EB13">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4.完全民事行为能力的自然人授权的受委托人须提供授权委托书原件（摁委托人手印）及受委托人居民身份证复印件（原件备查）。</w:t>
      </w:r>
    </w:p>
    <w:p w14:paraId="72AC03F2">
      <w:pPr>
        <w:keepNext w:val="0"/>
        <w:keepLines w:val="0"/>
        <w:pageBreakBefore w:val="0"/>
        <w:numPr>
          <w:ilvl w:val="0"/>
          <w:numId w:val="0"/>
        </w:numPr>
        <w:kinsoku/>
        <w:topLinePunct w:val="0"/>
        <w:bidi w:val="0"/>
        <w:spacing w:after="0" w:line="560" w:lineRule="exact"/>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 xml:space="preserve">注：授权委托书中的委托权限应当注明签订纸质网上交易平台服务协议及广州市天河区农村集体资产交易确认书等具体委托事项，受委托人实施一切代理行为所产生的全部后果及责任，由委托人承担。  </w:t>
      </w:r>
    </w:p>
    <w:p w14:paraId="2A9759CC">
      <w:pPr>
        <w:keepNext w:val="0"/>
        <w:keepLines w:val="0"/>
        <w:pageBreakBefore w:val="0"/>
        <w:numPr>
          <w:ilvl w:val="0"/>
          <w:numId w:val="0"/>
        </w:numPr>
        <w:kinsoku/>
        <w:topLinePunct w:val="0"/>
        <w:bidi w:val="0"/>
        <w:spacing w:after="0" w:line="560" w:lineRule="exact"/>
        <w:textAlignment w:val="auto"/>
        <w:rPr>
          <w:rFonts w:hint="eastAsia" w:ascii="仿宋" w:hAnsi="仿宋" w:eastAsia="仿宋" w:cs="仿宋"/>
          <w:b/>
          <w:color w:val="auto"/>
          <w:sz w:val="24"/>
        </w:rPr>
      </w:pPr>
      <w:r>
        <w:rPr>
          <w:rFonts w:hint="eastAsia" w:ascii="仿宋" w:hAnsi="仿宋" w:eastAsia="仿宋" w:cs="仿宋"/>
          <w:b/>
          <w:color w:val="auto"/>
          <w:sz w:val="24"/>
          <w:lang w:val="en-US" w:eastAsia="zh-CN"/>
        </w:rPr>
        <w:t>六、先竞先得</w:t>
      </w:r>
      <w:r>
        <w:rPr>
          <w:rFonts w:hint="eastAsia" w:ascii="仿宋" w:hAnsi="仿宋" w:eastAsia="仿宋" w:cs="仿宋"/>
          <w:b/>
          <w:color w:val="auto"/>
          <w:sz w:val="24"/>
        </w:rPr>
        <w:t>规则</w:t>
      </w:r>
    </w:p>
    <w:p w14:paraId="7532CB21">
      <w:pPr>
        <w:keepNext w:val="0"/>
        <w:keepLines w:val="0"/>
        <w:pageBreakBefore w:val="0"/>
        <w:numPr>
          <w:ilvl w:val="0"/>
          <w:numId w:val="0"/>
        </w:numPr>
        <w:kinsoku/>
        <w:topLinePunct w:val="0"/>
        <w:bidi w:val="0"/>
        <w:spacing w:after="0" w:line="560" w:lineRule="exact"/>
        <w:textAlignment w:val="auto"/>
        <w:rPr>
          <w:rFonts w:hint="eastAsia" w:ascii="仿宋" w:hAnsi="仿宋" w:eastAsia="仿宋" w:cs="仿宋"/>
          <w:bCs/>
          <w:color w:val="auto"/>
          <w:sz w:val="24"/>
          <w:lang w:val="en-US" w:eastAsia="zh-CN"/>
        </w:rPr>
      </w:pPr>
      <w:r>
        <w:rPr>
          <w:rFonts w:hint="eastAsia" w:ascii="仿宋" w:hAnsi="仿宋" w:eastAsia="仿宋" w:cs="仿宋"/>
          <w:b/>
          <w:color w:val="auto"/>
          <w:sz w:val="24"/>
          <w:lang w:val="en-US" w:eastAsia="zh-CN"/>
        </w:rPr>
        <w:t xml:space="preserve">    </w:t>
      </w:r>
      <w:r>
        <w:rPr>
          <w:rFonts w:hint="eastAsia" w:ascii="仿宋" w:hAnsi="仿宋" w:eastAsia="仿宋" w:cs="仿宋"/>
          <w:bCs/>
          <w:color w:val="auto"/>
          <w:sz w:val="24"/>
          <w:lang w:val="en-US" w:eastAsia="zh-CN"/>
        </w:rPr>
        <w:t>（一)网上竞投开始前，网上交易平台为竞投人随机分配竞投号，竞投人以竞投号参与竞投。</w:t>
      </w:r>
    </w:p>
    <w:p w14:paraId="0953FF0B">
      <w:pPr>
        <w:keepNext w:val="0"/>
        <w:keepLines w:val="0"/>
        <w:pageBreakBefore w:val="0"/>
        <w:kinsoku/>
        <w:topLinePunct w:val="0"/>
        <w:bidi w:val="0"/>
        <w:spacing w:after="0" w:line="560" w:lineRule="exact"/>
        <w:ind w:firstLine="482" w:firstLineChars="200"/>
        <w:textAlignment w:val="auto"/>
        <w:rPr>
          <w:rFonts w:hint="eastAsia" w:ascii="仿宋" w:hAnsi="仿宋" w:eastAsia="仿宋" w:cs="仿宋"/>
          <w:b/>
          <w:bCs w:val="0"/>
          <w:color w:val="auto"/>
          <w:sz w:val="24"/>
          <w:lang w:val="en-US" w:eastAsia="zh-CN"/>
        </w:rPr>
      </w:pPr>
      <w:r>
        <w:rPr>
          <w:rFonts w:hint="eastAsia" w:ascii="仿宋" w:hAnsi="仿宋" w:eastAsia="仿宋" w:cs="仿宋"/>
          <w:b/>
          <w:bCs w:val="0"/>
          <w:color w:val="auto"/>
          <w:sz w:val="24"/>
        </w:rPr>
        <w:t>（</w:t>
      </w:r>
      <w:r>
        <w:rPr>
          <w:rFonts w:hint="eastAsia" w:ascii="仿宋" w:hAnsi="仿宋" w:eastAsia="仿宋" w:cs="仿宋"/>
          <w:b/>
          <w:bCs w:val="0"/>
          <w:color w:val="auto"/>
          <w:sz w:val="24"/>
          <w:lang w:eastAsia="zh-CN"/>
        </w:rPr>
        <w:t>二</w:t>
      </w:r>
      <w:r>
        <w:rPr>
          <w:rFonts w:hint="eastAsia" w:ascii="仿宋" w:hAnsi="仿宋" w:eastAsia="仿宋" w:cs="仿宋"/>
          <w:b/>
          <w:bCs w:val="0"/>
          <w:color w:val="auto"/>
          <w:sz w:val="24"/>
        </w:rPr>
        <w:t>）</w:t>
      </w:r>
      <w:r>
        <w:rPr>
          <w:rFonts w:hint="default" w:ascii="仿宋" w:hAnsi="仿宋" w:eastAsia="仿宋" w:cs="仿宋"/>
          <w:b/>
          <w:bCs w:val="0"/>
          <w:color w:val="auto"/>
          <w:sz w:val="24"/>
          <w:lang w:val="en-US" w:eastAsia="zh-CN"/>
        </w:rPr>
        <w:t>本次交易不设加价，竞投人在报价确认时限内</w:t>
      </w:r>
      <w:r>
        <w:rPr>
          <w:rFonts w:hint="eastAsia" w:ascii="仿宋" w:hAnsi="仿宋" w:eastAsia="仿宋" w:cs="仿宋"/>
          <w:b/>
          <w:bCs w:val="0"/>
          <w:color w:val="auto"/>
          <w:sz w:val="24"/>
          <w:lang w:val="en-US" w:eastAsia="zh-CN"/>
        </w:rPr>
        <w:t>对</w:t>
      </w:r>
      <w:r>
        <w:rPr>
          <w:rFonts w:hint="default" w:ascii="仿宋" w:hAnsi="仿宋" w:eastAsia="仿宋" w:cs="仿宋"/>
          <w:b/>
          <w:bCs w:val="0"/>
          <w:color w:val="auto"/>
          <w:sz w:val="24"/>
          <w:lang w:val="en-US" w:eastAsia="zh-CN"/>
        </w:rPr>
        <w:t>报价框内的</w:t>
      </w:r>
      <w:r>
        <w:rPr>
          <w:rFonts w:hint="eastAsia" w:ascii="仿宋" w:hAnsi="仿宋" w:eastAsia="仿宋" w:cs="仿宋"/>
          <w:b/>
          <w:bCs w:val="0"/>
          <w:color w:val="auto"/>
          <w:sz w:val="24"/>
          <w:lang w:val="en-US" w:eastAsia="zh-CN"/>
        </w:rPr>
        <w:t>交易底价</w:t>
      </w:r>
      <w:r>
        <w:rPr>
          <w:rFonts w:hint="default" w:ascii="仿宋" w:hAnsi="仿宋" w:eastAsia="仿宋" w:cs="仿宋"/>
          <w:b/>
          <w:bCs w:val="0"/>
          <w:color w:val="auto"/>
          <w:sz w:val="24"/>
          <w:lang w:val="en-US" w:eastAsia="zh-CN"/>
        </w:rPr>
        <w:t>点击【确认报价】</w:t>
      </w:r>
      <w:r>
        <w:rPr>
          <w:rFonts w:hint="eastAsia" w:ascii="仿宋" w:hAnsi="仿宋" w:eastAsia="仿宋" w:cs="仿宋"/>
          <w:b/>
          <w:bCs w:val="0"/>
          <w:color w:val="auto"/>
          <w:sz w:val="24"/>
          <w:lang w:val="en-US" w:eastAsia="zh-CN"/>
        </w:rPr>
        <w:t>，</w:t>
      </w:r>
      <w:r>
        <w:rPr>
          <w:rFonts w:hint="default" w:ascii="仿宋" w:hAnsi="仿宋" w:eastAsia="仿宋" w:cs="仿宋"/>
          <w:b/>
          <w:bCs w:val="0"/>
          <w:color w:val="auto"/>
          <w:sz w:val="24"/>
          <w:lang w:val="en-US" w:eastAsia="zh-CN"/>
        </w:rPr>
        <w:t>进行报价确认</w:t>
      </w:r>
      <w:r>
        <w:rPr>
          <w:rFonts w:hint="eastAsia" w:ascii="仿宋" w:hAnsi="仿宋" w:eastAsia="仿宋" w:cs="仿宋"/>
          <w:b/>
          <w:bCs w:val="0"/>
          <w:color w:val="auto"/>
          <w:sz w:val="24"/>
          <w:lang w:val="en-US" w:eastAsia="zh-CN"/>
        </w:rPr>
        <w:t>。</w:t>
      </w:r>
      <w:r>
        <w:rPr>
          <w:rFonts w:hint="default" w:ascii="仿宋" w:hAnsi="仿宋" w:eastAsia="仿宋" w:cs="仿宋"/>
          <w:b/>
          <w:bCs w:val="0"/>
          <w:color w:val="auto"/>
          <w:sz w:val="24"/>
          <w:lang w:val="en-US" w:eastAsia="zh-CN"/>
        </w:rPr>
        <w:t>界面弹出报价成功提示框即完成报价，报价一旦完成将无法再作修改并不予撤销</w:t>
      </w:r>
      <w:r>
        <w:rPr>
          <w:rFonts w:hint="eastAsia" w:ascii="仿宋" w:hAnsi="仿宋" w:eastAsia="仿宋" w:cs="仿宋"/>
          <w:b/>
          <w:bCs w:val="0"/>
          <w:color w:val="auto"/>
          <w:sz w:val="24"/>
          <w:lang w:val="en-US" w:eastAsia="zh-CN"/>
        </w:rPr>
        <w:t>。</w:t>
      </w:r>
      <w:r>
        <w:rPr>
          <w:rFonts w:hint="default" w:ascii="仿宋" w:hAnsi="仿宋" w:eastAsia="仿宋" w:cs="仿宋"/>
          <w:b/>
          <w:bCs w:val="0"/>
          <w:color w:val="auto"/>
          <w:sz w:val="24"/>
          <w:lang w:val="en-US" w:eastAsia="zh-CN"/>
        </w:rPr>
        <w:t>系统按照</w:t>
      </w:r>
      <w:r>
        <w:rPr>
          <w:rFonts w:hint="eastAsia" w:ascii="仿宋" w:hAnsi="仿宋" w:eastAsia="仿宋" w:cs="仿宋"/>
          <w:b/>
          <w:bCs w:val="0"/>
          <w:color w:val="auto"/>
          <w:sz w:val="24"/>
          <w:lang w:val="en-US" w:eastAsia="zh-CN"/>
        </w:rPr>
        <w:t>“先竞先得”</w:t>
      </w:r>
      <w:r>
        <w:rPr>
          <w:rFonts w:hint="default" w:ascii="仿宋" w:hAnsi="仿宋" w:eastAsia="仿宋" w:cs="仿宋"/>
          <w:b/>
          <w:bCs w:val="0"/>
          <w:color w:val="auto"/>
          <w:sz w:val="24"/>
          <w:lang w:val="en-US" w:eastAsia="zh-CN"/>
        </w:rPr>
        <w:t>的原则（以系统时间为准）对确认报价的竞投人进行锁定并确</w:t>
      </w:r>
      <w:r>
        <w:rPr>
          <w:rFonts w:hint="eastAsia" w:ascii="仿宋" w:hAnsi="仿宋" w:eastAsia="仿宋" w:cs="仿宋"/>
          <w:b/>
          <w:bCs w:val="0"/>
          <w:color w:val="auto"/>
          <w:sz w:val="24"/>
          <w:lang w:val="en-US" w:eastAsia="zh-CN"/>
        </w:rPr>
        <w:t>定</w:t>
      </w:r>
      <w:r>
        <w:rPr>
          <w:rFonts w:hint="default" w:ascii="仿宋" w:hAnsi="仿宋" w:eastAsia="仿宋" w:cs="仿宋"/>
          <w:b/>
          <w:bCs w:val="0"/>
          <w:color w:val="auto"/>
          <w:sz w:val="24"/>
          <w:lang w:val="en-US" w:eastAsia="zh-CN"/>
        </w:rPr>
        <w:t>其为竞得人。</w:t>
      </w:r>
    </w:p>
    <w:p w14:paraId="131A047B">
      <w:pPr>
        <w:keepNext w:val="0"/>
        <w:keepLines w:val="0"/>
        <w:pageBreakBefore w:val="0"/>
        <w:kinsoku/>
        <w:topLinePunct w:val="0"/>
        <w:bidi w:val="0"/>
        <w:spacing w:after="0" w:line="560" w:lineRule="exact"/>
        <w:ind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rPr>
        <w:t>（</w:t>
      </w:r>
      <w:r>
        <w:rPr>
          <w:rFonts w:hint="eastAsia" w:ascii="仿宋" w:hAnsi="仿宋" w:eastAsia="仿宋" w:cs="仿宋"/>
          <w:bCs/>
          <w:color w:val="auto"/>
          <w:sz w:val="24"/>
          <w:lang w:eastAsia="zh-CN"/>
        </w:rPr>
        <w:t>三</w:t>
      </w:r>
      <w:r>
        <w:rPr>
          <w:rFonts w:hint="eastAsia" w:ascii="仿宋" w:hAnsi="仿宋" w:eastAsia="仿宋" w:cs="仿宋"/>
          <w:bCs/>
          <w:color w:val="auto"/>
          <w:sz w:val="24"/>
        </w:rPr>
        <w:t>）竞投人未成功竞得的，在该项目交易结果公示结束后5个工作日内一次性全额不计息按原账号返还。竞投人成功竞得的，交易保证金</w:t>
      </w:r>
      <w:r>
        <w:rPr>
          <w:rFonts w:hint="eastAsia" w:ascii="仿宋" w:hAnsi="仿宋" w:eastAsia="仿宋" w:cs="仿宋"/>
          <w:color w:val="auto"/>
          <w:sz w:val="24"/>
        </w:rPr>
        <w:t>在合同签订后5个工作日内一次性全额不计利息返还，或者</w:t>
      </w:r>
      <w:r>
        <w:rPr>
          <w:rFonts w:hint="eastAsia" w:ascii="仿宋" w:hAnsi="仿宋" w:eastAsia="仿宋" w:cs="仿宋"/>
          <w:bCs/>
          <w:color w:val="auto"/>
          <w:sz w:val="24"/>
        </w:rPr>
        <w:t>按公告约定转为合同履约保证金；</w:t>
      </w:r>
      <w:bookmarkEnd w:id="20"/>
      <w:bookmarkEnd w:id="21"/>
    </w:p>
    <w:p w14:paraId="7FD93290">
      <w:pPr>
        <w:keepNext w:val="0"/>
        <w:keepLines w:val="0"/>
        <w:pageBreakBefore w:val="0"/>
        <w:kinsoku/>
        <w:topLinePunct w:val="0"/>
        <w:bidi w:val="0"/>
        <w:spacing w:after="0" w:line="56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bCs/>
          <w:color w:val="auto"/>
          <w:sz w:val="24"/>
        </w:rPr>
        <w:t>（</w:t>
      </w:r>
      <w:r>
        <w:rPr>
          <w:rFonts w:hint="eastAsia" w:ascii="仿宋" w:hAnsi="仿宋" w:eastAsia="仿宋" w:cs="仿宋"/>
          <w:bCs/>
          <w:color w:val="auto"/>
          <w:sz w:val="24"/>
          <w:lang w:eastAsia="zh-CN"/>
        </w:rPr>
        <w:t>四</w:t>
      </w:r>
      <w:r>
        <w:rPr>
          <w:rFonts w:hint="eastAsia" w:ascii="仿宋" w:hAnsi="仿宋" w:eastAsia="仿宋" w:cs="仿宋"/>
          <w:bCs/>
          <w:color w:val="auto"/>
          <w:sz w:val="24"/>
        </w:rPr>
        <w:t>）</w:t>
      </w:r>
      <w:r>
        <w:rPr>
          <w:rFonts w:hint="eastAsia" w:ascii="仿宋" w:hAnsi="仿宋" w:eastAsia="仿宋" w:cs="仿宋"/>
          <w:color w:val="auto"/>
          <w:sz w:val="24"/>
        </w:rPr>
        <w:t>竞投结束</w:t>
      </w:r>
      <w:r>
        <w:rPr>
          <w:rFonts w:hint="eastAsia" w:ascii="仿宋" w:hAnsi="仿宋" w:eastAsia="仿宋" w:cs="仿宋"/>
          <w:color w:val="auto"/>
          <w:sz w:val="24"/>
          <w:lang w:eastAsia="zh-CN"/>
        </w:rPr>
        <w:t>后</w:t>
      </w:r>
      <w:r>
        <w:rPr>
          <w:rFonts w:hint="eastAsia" w:ascii="仿宋" w:hAnsi="仿宋" w:eastAsia="仿宋" w:cs="仿宋"/>
          <w:color w:val="auto"/>
          <w:sz w:val="24"/>
        </w:rPr>
        <w:t>，交易结果将在广州市天河区农村集体资产管理平台、天河区信息网等信息平台进行公示，项目业主单位还应当在其信息公开栏（“三公开”栏）、标的物所在地等处发布交易结果公示。公示时间不得少于5个工作日。</w:t>
      </w:r>
      <w:r>
        <w:rPr>
          <w:rFonts w:hint="eastAsia" w:ascii="仿宋" w:hAnsi="仿宋" w:eastAsia="仿宋" w:cs="仿宋"/>
          <w:color w:val="auto"/>
          <w:sz w:val="24"/>
          <w:lang w:eastAsia="zh-CN"/>
        </w:rPr>
        <w:t>公示期间如对交易程序或结果提出异议的，可</w:t>
      </w:r>
      <w:r>
        <w:rPr>
          <w:rFonts w:hint="eastAsia" w:ascii="仿宋" w:hAnsi="仿宋" w:eastAsia="仿宋" w:cs="仿宋"/>
          <w:color w:val="auto"/>
          <w:sz w:val="24"/>
          <w:szCs w:val="24"/>
        </w:rPr>
        <w:t>以书面形式向区农业农村局、街道办事处或纪检监察部门提出质疑</w:t>
      </w:r>
      <w:r>
        <w:rPr>
          <w:rFonts w:hint="eastAsia" w:ascii="仿宋" w:hAnsi="仿宋" w:eastAsia="仿宋" w:cs="仿宋"/>
          <w:color w:val="auto"/>
          <w:sz w:val="24"/>
          <w:szCs w:val="24"/>
          <w:lang w:eastAsia="zh-CN"/>
        </w:rPr>
        <w:t>。</w:t>
      </w:r>
    </w:p>
    <w:p w14:paraId="312B8DF6">
      <w:pPr>
        <w:keepNext w:val="0"/>
        <w:keepLines w:val="0"/>
        <w:pageBreakBefore w:val="0"/>
        <w:kinsoku/>
        <w:topLinePunct w:val="0"/>
        <w:bidi w:val="0"/>
        <w:spacing w:after="0" w:line="560" w:lineRule="exact"/>
        <w:ind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rPr>
        <w:t>（</w:t>
      </w:r>
      <w:r>
        <w:rPr>
          <w:rFonts w:hint="eastAsia" w:ascii="仿宋" w:hAnsi="仿宋" w:eastAsia="仿宋" w:cs="仿宋"/>
          <w:bCs/>
          <w:color w:val="auto"/>
          <w:sz w:val="24"/>
          <w:lang w:eastAsia="zh-CN"/>
        </w:rPr>
        <w:t>五</w:t>
      </w:r>
      <w:r>
        <w:rPr>
          <w:rFonts w:hint="eastAsia" w:ascii="仿宋" w:hAnsi="仿宋" w:eastAsia="仿宋" w:cs="仿宋"/>
          <w:bCs/>
          <w:color w:val="auto"/>
          <w:sz w:val="24"/>
        </w:rPr>
        <w:t>）</w:t>
      </w:r>
      <w:r>
        <w:rPr>
          <w:rFonts w:hint="eastAsia" w:ascii="仿宋" w:hAnsi="仿宋" w:eastAsia="仿宋" w:cs="仿宋"/>
          <w:color w:val="auto"/>
          <w:sz w:val="24"/>
        </w:rPr>
        <w:t>竞投结果公示结束后5个工作日内，项目业主单位和竞得人应当到交易服务机构指定的场所签订合同</w:t>
      </w:r>
      <w:r>
        <w:rPr>
          <w:rFonts w:hint="eastAsia" w:ascii="仿宋" w:hAnsi="仿宋" w:eastAsia="仿宋" w:cs="仿宋"/>
          <w:color w:val="000000"/>
          <w:sz w:val="24"/>
          <w:lang w:eastAsia="zh-CN"/>
        </w:rPr>
        <w:t>。因特殊情况，</w:t>
      </w:r>
      <w:r>
        <w:rPr>
          <w:rFonts w:hint="eastAsia" w:ascii="仿宋" w:hAnsi="仿宋" w:eastAsia="仿宋" w:cs="仿宋"/>
          <w:color w:val="auto"/>
          <w:sz w:val="24"/>
          <w:lang w:eastAsia="zh-CN"/>
        </w:rPr>
        <w:t>未能在规定时间内签订合同的</w:t>
      </w:r>
      <w:r>
        <w:rPr>
          <w:rFonts w:hint="eastAsia" w:ascii="仿宋" w:hAnsi="仿宋" w:eastAsia="仿宋" w:cs="仿宋"/>
          <w:color w:val="auto"/>
          <w:sz w:val="24"/>
        </w:rPr>
        <w:t>，项目业主单位和竞得人达成一致意见，</w:t>
      </w:r>
      <w:r>
        <w:rPr>
          <w:rFonts w:hint="eastAsia" w:ascii="仿宋" w:hAnsi="仿宋" w:eastAsia="仿宋" w:cs="仿宋"/>
          <w:color w:val="auto"/>
          <w:sz w:val="24"/>
          <w:lang w:eastAsia="zh-CN"/>
        </w:rPr>
        <w:t>可</w:t>
      </w:r>
      <w:r>
        <w:rPr>
          <w:rFonts w:hint="eastAsia" w:ascii="仿宋" w:hAnsi="仿宋" w:eastAsia="仿宋" w:cs="仿宋"/>
          <w:color w:val="auto"/>
          <w:sz w:val="24"/>
        </w:rPr>
        <w:t>由项目业主</w:t>
      </w:r>
      <w:r>
        <w:rPr>
          <w:rFonts w:hint="eastAsia" w:ascii="仿宋" w:hAnsi="仿宋" w:eastAsia="仿宋" w:cs="仿宋"/>
          <w:color w:val="auto"/>
          <w:sz w:val="24"/>
          <w:lang w:eastAsia="zh-CN"/>
        </w:rPr>
        <w:t>单位</w:t>
      </w:r>
      <w:r>
        <w:rPr>
          <w:rFonts w:hint="eastAsia" w:ascii="仿宋" w:hAnsi="仿宋" w:eastAsia="仿宋" w:cs="仿宋"/>
          <w:color w:val="auto"/>
          <w:sz w:val="24"/>
        </w:rPr>
        <w:t>向交易管理机构提</w:t>
      </w:r>
      <w:r>
        <w:rPr>
          <w:rFonts w:hint="eastAsia" w:ascii="仿宋" w:hAnsi="仿宋" w:eastAsia="仿宋" w:cs="仿宋"/>
          <w:color w:val="auto"/>
          <w:sz w:val="24"/>
          <w:lang w:eastAsia="zh-CN"/>
        </w:rPr>
        <w:t>出</w:t>
      </w:r>
      <w:r>
        <w:rPr>
          <w:rFonts w:hint="eastAsia" w:ascii="仿宋" w:hAnsi="仿宋" w:eastAsia="仿宋" w:cs="仿宋"/>
          <w:color w:val="auto"/>
          <w:sz w:val="24"/>
        </w:rPr>
        <w:t>合同延期签订申请，经所属经济联社、街道交易管理机构审核通过</w:t>
      </w:r>
      <w:r>
        <w:rPr>
          <w:rFonts w:hint="eastAsia" w:ascii="仿宋" w:hAnsi="仿宋" w:eastAsia="仿宋" w:cs="仿宋"/>
          <w:color w:val="auto"/>
          <w:sz w:val="24"/>
          <w:lang w:eastAsia="zh-CN"/>
        </w:rPr>
        <w:t>后</w:t>
      </w:r>
      <w:r>
        <w:rPr>
          <w:rFonts w:hint="eastAsia" w:ascii="仿宋" w:hAnsi="仿宋" w:eastAsia="仿宋" w:cs="仿宋"/>
          <w:color w:val="auto"/>
          <w:sz w:val="24"/>
        </w:rPr>
        <w:t>，方可延期签订合同。</w:t>
      </w:r>
    </w:p>
    <w:p w14:paraId="3162EE50">
      <w:pPr>
        <w:keepNext w:val="0"/>
        <w:keepLines w:val="0"/>
        <w:pageBreakBefore w:val="0"/>
        <w:kinsoku/>
        <w:topLinePunct w:val="0"/>
        <w:bidi w:val="0"/>
        <w:spacing w:after="0" w:line="56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eastAsia="zh-CN"/>
        </w:rPr>
        <w:t>（六）竞投结果公示结束后5个工作日内，因竞得人原因，未与项目业主单位签订合同的，视为放弃竞得资格，交易保证金由交易服务机构一次性全额不计息全额转交给项目业主单位，由项目业主单位予以没收处理。</w:t>
      </w:r>
    </w:p>
    <w:p w14:paraId="6677AC6A">
      <w:pPr>
        <w:keepNext w:val="0"/>
        <w:keepLines w:val="0"/>
        <w:pageBreakBefore w:val="0"/>
        <w:widowControl w:val="0"/>
        <w:kinsoku/>
        <w:wordWrap/>
        <w:overflowPunct/>
        <w:topLinePunct w:val="0"/>
        <w:autoSpaceDE/>
        <w:autoSpaceDN/>
        <w:bidi w:val="0"/>
        <w:adjustRightInd/>
        <w:snapToGrid/>
        <w:spacing w:after="0" w:line="560" w:lineRule="exact"/>
        <w:ind w:firstLine="482" w:firstLineChars="200"/>
        <w:textAlignment w:val="auto"/>
        <w:rPr>
          <w:rFonts w:hint="eastAsia" w:ascii="仿宋" w:hAnsi="仿宋" w:eastAsia="仿宋" w:cs="仿宋"/>
          <w:b/>
          <w:bCs w:val="0"/>
          <w:color w:val="auto"/>
          <w:sz w:val="24"/>
        </w:rPr>
      </w:pPr>
      <w:r>
        <w:rPr>
          <w:rFonts w:hint="eastAsia" w:ascii="仿宋" w:hAnsi="仿宋" w:eastAsia="仿宋" w:cs="仿宋"/>
          <w:b/>
          <w:bCs w:val="0"/>
          <w:color w:val="auto"/>
          <w:sz w:val="24"/>
          <w:lang w:eastAsia="zh-CN"/>
        </w:rPr>
        <w:t>（七）</w:t>
      </w:r>
      <w:r>
        <w:rPr>
          <w:rFonts w:hint="eastAsia" w:ascii="仿宋" w:hAnsi="仿宋" w:eastAsia="仿宋" w:cs="仿宋"/>
          <w:b/>
          <w:bCs w:val="0"/>
          <w:color w:val="auto"/>
          <w:sz w:val="24"/>
        </w:rPr>
        <w:t>在全区范围内，竞投人或承租（承包）人存在以下情形之一的，列入天河区农村集体资产交易信用评价黑名单：</w:t>
      </w:r>
    </w:p>
    <w:p w14:paraId="0B2A4AC2">
      <w:pPr>
        <w:keepNext w:val="0"/>
        <w:keepLines w:val="0"/>
        <w:pageBreakBefore w:val="0"/>
        <w:kinsoku/>
        <w:topLinePunct w:val="0"/>
        <w:bidi w:val="0"/>
        <w:spacing w:after="0" w:line="5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1.一年内累计5次不进场交易的；</w:t>
      </w:r>
    </w:p>
    <w:p w14:paraId="21D29739">
      <w:pPr>
        <w:keepNext w:val="0"/>
        <w:keepLines w:val="0"/>
        <w:pageBreakBefore w:val="0"/>
        <w:kinsoku/>
        <w:topLinePunct w:val="0"/>
        <w:bidi w:val="0"/>
        <w:spacing w:after="0" w:line="5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2.一年内累计5次进场交易但不报价的；</w:t>
      </w:r>
    </w:p>
    <w:p w14:paraId="6379B684">
      <w:pPr>
        <w:keepNext w:val="0"/>
        <w:keepLines w:val="0"/>
        <w:pageBreakBefore w:val="0"/>
        <w:kinsoku/>
        <w:topLinePunct w:val="0"/>
        <w:bidi w:val="0"/>
        <w:spacing w:after="0" w:line="5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3.扰乱交易秩序，影响交易正常进行的；</w:t>
      </w:r>
    </w:p>
    <w:p w14:paraId="20CF6466">
      <w:pPr>
        <w:keepNext w:val="0"/>
        <w:keepLines w:val="0"/>
        <w:pageBreakBefore w:val="0"/>
        <w:kinsoku/>
        <w:topLinePunct w:val="0"/>
        <w:bidi w:val="0"/>
        <w:spacing w:after="0" w:line="5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4.竞投人有弄虚作假、串通竞投、行贿、敲诈勒索、威胁他人行为的；</w:t>
      </w:r>
    </w:p>
    <w:p w14:paraId="7A0949F5">
      <w:pPr>
        <w:keepNext w:val="0"/>
        <w:keepLines w:val="0"/>
        <w:pageBreakBefore w:val="0"/>
        <w:kinsoku/>
        <w:topLinePunct w:val="0"/>
        <w:bidi w:val="0"/>
        <w:spacing w:after="0" w:line="5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5.在竞得成功后，2个工作日内无正当理由不提交相关纸质资料的；</w:t>
      </w:r>
    </w:p>
    <w:p w14:paraId="39397045">
      <w:pPr>
        <w:keepNext w:val="0"/>
        <w:keepLines w:val="0"/>
        <w:pageBreakBefore w:val="0"/>
        <w:kinsoku/>
        <w:topLinePunct w:val="0"/>
        <w:bidi w:val="0"/>
        <w:spacing w:after="0" w:line="5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6.在竞得成功后，无正当理由推翻成交价或拒绝签订合同的；</w:t>
      </w:r>
    </w:p>
    <w:p w14:paraId="21BDDAB0">
      <w:pPr>
        <w:keepNext w:val="0"/>
        <w:keepLines w:val="0"/>
        <w:pageBreakBefore w:val="0"/>
        <w:kinsoku/>
        <w:topLinePunct w:val="0"/>
        <w:bidi w:val="0"/>
        <w:spacing w:after="0" w:line="5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7.履约过程中，未经农村集体同意，累计3次未按照合同约定交纳租金（承包金）的；</w:t>
      </w:r>
    </w:p>
    <w:p w14:paraId="7D4F7857">
      <w:pPr>
        <w:keepNext w:val="0"/>
        <w:keepLines w:val="0"/>
        <w:pageBreakBefore w:val="0"/>
        <w:kinsoku/>
        <w:topLinePunct w:val="0"/>
        <w:bidi w:val="0"/>
        <w:spacing w:after="0" w:line="5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8.合同到期后，未按照合同约定交还标的物的；</w:t>
      </w:r>
    </w:p>
    <w:p w14:paraId="081FF1D9">
      <w:pPr>
        <w:keepNext w:val="0"/>
        <w:keepLines w:val="0"/>
        <w:pageBreakBefore w:val="0"/>
        <w:kinsoku/>
        <w:topLinePunct w:val="0"/>
        <w:bidi w:val="0"/>
        <w:spacing w:after="0" w:line="5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9</w:t>
      </w:r>
      <w:r>
        <w:rPr>
          <w:rFonts w:hint="eastAsia" w:ascii="仿宋" w:hAnsi="仿宋" w:eastAsia="仿宋" w:cs="仿宋"/>
          <w:color w:val="auto"/>
          <w:sz w:val="24"/>
        </w:rPr>
        <w:t>.其他违背诚实信用原则的行为。</w:t>
      </w:r>
    </w:p>
    <w:p w14:paraId="45DC96CC">
      <w:pPr>
        <w:keepNext w:val="0"/>
        <w:keepLines w:val="0"/>
        <w:pageBreakBefore w:val="0"/>
        <w:kinsoku/>
        <w:topLinePunct w:val="0"/>
        <w:bidi w:val="0"/>
        <w:spacing w:after="0" w:line="5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被列入天河区农村集体资产交易信用评价黑名单的竞投人或承租（承包）人，管理平台交易系统3年内（含3年）</w:t>
      </w:r>
      <w:r>
        <w:rPr>
          <w:rFonts w:hint="eastAsia" w:ascii="仿宋" w:hAnsi="仿宋" w:eastAsia="仿宋" w:cs="仿宋"/>
          <w:b/>
          <w:color w:val="auto"/>
          <w:sz w:val="24"/>
        </w:rPr>
        <w:t>禁止</w:t>
      </w:r>
      <w:r>
        <w:rPr>
          <w:rFonts w:hint="eastAsia" w:ascii="仿宋" w:hAnsi="仿宋" w:eastAsia="仿宋" w:cs="仿宋"/>
          <w:color w:val="auto"/>
          <w:sz w:val="24"/>
        </w:rPr>
        <w:t>参与竞投。</w:t>
      </w:r>
    </w:p>
    <w:p w14:paraId="4E890F5F">
      <w:pPr>
        <w:keepNext w:val="0"/>
        <w:keepLines w:val="0"/>
        <w:pageBreakBefore w:val="0"/>
        <w:kinsoku/>
        <w:topLinePunct w:val="0"/>
        <w:bidi w:val="0"/>
        <w:spacing w:after="0" w:line="560" w:lineRule="exact"/>
        <w:ind w:firstLine="480" w:firstLineChars="200"/>
        <w:textAlignment w:val="auto"/>
        <w:rPr>
          <w:rFonts w:hint="eastAsia" w:ascii="仿宋" w:hAnsi="仿宋" w:eastAsia="仿宋" w:cs="仿宋"/>
          <w:bCs/>
          <w:color w:val="auto"/>
          <w:sz w:val="24"/>
        </w:rPr>
      </w:pPr>
      <w:r>
        <w:rPr>
          <w:rFonts w:hint="eastAsia" w:ascii="仿宋" w:hAnsi="仿宋" w:eastAsia="仿宋" w:cs="仿宋"/>
          <w:b w:val="0"/>
          <w:bCs/>
          <w:color w:val="auto"/>
          <w:sz w:val="24"/>
          <w:lang w:eastAsia="zh-CN"/>
        </w:rPr>
        <w:t>（八）</w:t>
      </w:r>
      <w:r>
        <w:rPr>
          <w:rFonts w:hint="eastAsia" w:ascii="仿宋" w:hAnsi="仿宋" w:eastAsia="仿宋" w:cs="仿宋"/>
          <w:bCs/>
          <w:color w:val="auto"/>
          <w:sz w:val="24"/>
        </w:rPr>
        <w:t>农村集体资产进行网上交易时，街道交易管理机构应当组织监督小组登录广州市天河区农村集体资产管理平台http://szjy.thnet.gov.cn/</w:t>
      </w:r>
      <w:r>
        <w:rPr>
          <w:rFonts w:hint="eastAsia" w:ascii="仿宋" w:hAnsi="仿宋" w:eastAsia="仿宋" w:cs="仿宋"/>
          <w:color w:val="auto"/>
          <w:sz w:val="24"/>
        </w:rPr>
        <w:t>的【网上竞投】模块内每个项目的展示窗</w:t>
      </w:r>
      <w:r>
        <w:rPr>
          <w:rFonts w:hint="eastAsia" w:ascii="仿宋" w:hAnsi="仿宋" w:eastAsia="仿宋" w:cs="仿宋"/>
          <w:bCs/>
          <w:color w:val="auto"/>
          <w:sz w:val="24"/>
        </w:rPr>
        <w:t>见证监督。监督小组人数在4名以上，成员由经济联社领导班子成员或经济社理事会、监事会及街道交易管理机构、纪检监察联络站成员组成。</w:t>
      </w:r>
    </w:p>
    <w:p w14:paraId="517023F1">
      <w:pPr>
        <w:keepNext w:val="0"/>
        <w:keepLines w:val="0"/>
        <w:pageBreakBefore w:val="0"/>
        <w:kinsoku/>
        <w:topLinePunct w:val="0"/>
        <w:bidi w:val="0"/>
        <w:spacing w:after="0" w:line="560" w:lineRule="exact"/>
        <w:ind w:firstLine="480" w:firstLineChars="200"/>
        <w:textAlignment w:val="auto"/>
        <w:rPr>
          <w:rFonts w:hint="eastAsia" w:ascii="仿宋" w:hAnsi="仿宋" w:eastAsia="仿宋" w:cs="仿宋"/>
          <w:bCs/>
          <w:color w:val="auto"/>
          <w:sz w:val="24"/>
        </w:rPr>
      </w:pPr>
      <w:r>
        <w:rPr>
          <w:rFonts w:hint="eastAsia" w:ascii="仿宋" w:hAnsi="仿宋" w:eastAsia="仿宋" w:cs="仿宋"/>
          <w:b w:val="0"/>
          <w:bCs/>
          <w:color w:val="auto"/>
          <w:sz w:val="24"/>
          <w:lang w:eastAsia="zh-CN"/>
        </w:rPr>
        <w:t>（九）</w:t>
      </w:r>
      <w:r>
        <w:rPr>
          <w:rFonts w:hint="eastAsia" w:ascii="仿宋" w:hAnsi="仿宋" w:eastAsia="仿宋" w:cs="仿宋"/>
          <w:bCs/>
          <w:color w:val="auto"/>
          <w:sz w:val="24"/>
          <w:highlight w:val="none"/>
        </w:rPr>
        <w:t>交易关系利害人对交易过程或结果有异议的，可向区农业农村局、街道办事处或纪检监察部门进行投诉。</w:t>
      </w:r>
    </w:p>
    <w:p w14:paraId="00936834">
      <w:pPr>
        <w:keepNext w:val="0"/>
        <w:keepLines w:val="0"/>
        <w:pageBreakBefore w:val="0"/>
        <w:kinsoku/>
        <w:topLinePunct w:val="0"/>
        <w:bidi w:val="0"/>
        <w:spacing w:after="0" w:line="560" w:lineRule="exact"/>
        <w:ind w:firstLine="480" w:firstLineChars="200"/>
        <w:textAlignment w:val="auto"/>
        <w:rPr>
          <w:rFonts w:hint="eastAsia" w:ascii="仿宋" w:hAnsi="仿宋" w:eastAsia="仿宋" w:cs="仿宋"/>
          <w:bCs/>
          <w:color w:val="auto"/>
          <w:sz w:val="24"/>
        </w:rPr>
      </w:pPr>
      <w:r>
        <w:rPr>
          <w:rFonts w:hint="eastAsia" w:ascii="仿宋" w:hAnsi="仿宋" w:eastAsia="仿宋" w:cs="仿宋"/>
          <w:b w:val="0"/>
          <w:bCs/>
          <w:color w:val="auto"/>
          <w:sz w:val="24"/>
          <w:lang w:eastAsia="zh-CN"/>
        </w:rPr>
        <w:t>（十）</w:t>
      </w:r>
      <w:r>
        <w:rPr>
          <w:rFonts w:hint="eastAsia" w:ascii="仿宋" w:hAnsi="仿宋" w:eastAsia="仿宋" w:cs="仿宋"/>
          <w:bCs/>
          <w:color w:val="auto"/>
          <w:sz w:val="24"/>
        </w:rPr>
        <w:t>在农村集体资产交易合同履行过程中，发生纠纷的，可依据合同约定途径解决，没有约定的，可依法向天河区人民法院提起诉讼。</w:t>
      </w:r>
    </w:p>
    <w:p w14:paraId="0380C5E2">
      <w:pPr>
        <w:keepNext w:val="0"/>
        <w:keepLines w:val="0"/>
        <w:pageBreakBefore w:val="0"/>
        <w:kinsoku/>
        <w:topLinePunct w:val="0"/>
        <w:bidi w:val="0"/>
        <w:spacing w:after="0" w:line="560" w:lineRule="exact"/>
        <w:ind w:firstLine="480" w:firstLineChars="200"/>
        <w:textAlignment w:val="auto"/>
        <w:rPr>
          <w:rFonts w:hint="eastAsia" w:ascii="仿宋" w:hAnsi="仿宋" w:eastAsia="仿宋" w:cs="仿宋"/>
          <w:color w:val="auto"/>
          <w:sz w:val="24"/>
        </w:rPr>
      </w:pPr>
      <w:r>
        <w:rPr>
          <w:rFonts w:hint="eastAsia" w:ascii="仿宋" w:hAnsi="仿宋" w:eastAsia="仿宋" w:cs="仿宋"/>
          <w:b w:val="0"/>
          <w:bCs/>
          <w:color w:val="auto"/>
          <w:sz w:val="24"/>
          <w:lang w:eastAsia="zh-CN"/>
        </w:rPr>
        <w:t>（十一）</w:t>
      </w:r>
      <w:r>
        <w:rPr>
          <w:rFonts w:hint="eastAsia" w:ascii="仿宋" w:hAnsi="仿宋" w:eastAsia="仿宋" w:cs="仿宋"/>
          <w:color w:val="auto"/>
          <w:sz w:val="24"/>
        </w:rPr>
        <w:t>天河区农村集体资产交易规则依据《天河区农村集体资产交易管理实施细则》制定，遵循民主决策、平等</w:t>
      </w:r>
      <w:r>
        <w:rPr>
          <w:rFonts w:hint="eastAsia" w:ascii="仿宋" w:hAnsi="仿宋" w:eastAsia="仿宋" w:cs="仿宋"/>
          <w:color w:val="000000"/>
          <w:sz w:val="24"/>
          <w:lang w:eastAsia="zh-CN"/>
        </w:rPr>
        <w:t>有偿</w:t>
      </w:r>
      <w:r>
        <w:rPr>
          <w:rFonts w:hint="eastAsia" w:ascii="仿宋" w:hAnsi="仿宋" w:eastAsia="仿宋" w:cs="仿宋"/>
          <w:color w:val="auto"/>
          <w:sz w:val="24"/>
        </w:rPr>
        <w:t>、诚实守信、公开、公平、公正的原则。</w:t>
      </w:r>
      <w:bookmarkEnd w:id="15"/>
      <w:bookmarkEnd w:id="16"/>
      <w:bookmarkEnd w:id="17"/>
      <w:bookmarkEnd w:id="18"/>
      <w:bookmarkEnd w:id="19"/>
      <w:bookmarkStart w:id="22" w:name="q5"/>
      <w:bookmarkEnd w:id="22"/>
      <w:bookmarkStart w:id="23" w:name="q6"/>
      <w:bookmarkEnd w:id="23"/>
    </w:p>
    <w:p w14:paraId="66758EAE">
      <w:pPr>
        <w:keepNext w:val="0"/>
        <w:keepLines w:val="0"/>
        <w:pageBreakBefore w:val="0"/>
        <w:kinsoku/>
        <w:topLinePunct w:val="0"/>
        <w:bidi w:val="0"/>
        <w:spacing w:after="0" w:line="560" w:lineRule="exact"/>
        <w:ind w:firstLine="480" w:firstLineChars="200"/>
        <w:textAlignment w:val="auto"/>
        <w:rPr>
          <w:rFonts w:hint="eastAsia" w:ascii="仿宋" w:hAnsi="仿宋" w:eastAsia="仿宋" w:cs="仿宋"/>
          <w:color w:val="auto"/>
          <w:sz w:val="24"/>
        </w:rPr>
      </w:pPr>
    </w:p>
    <w:p w14:paraId="006BBEC3">
      <w:pPr>
        <w:pStyle w:val="3"/>
        <w:keepNext w:val="0"/>
        <w:keepLines w:val="0"/>
        <w:pageBreakBefore w:val="0"/>
        <w:kinsoku/>
        <w:wordWrap/>
        <w:overflowPunct/>
        <w:topLinePunct w:val="0"/>
        <w:autoSpaceDE/>
        <w:bidi w:val="0"/>
        <w:snapToGrid/>
        <w:spacing w:line="380" w:lineRule="exact"/>
        <w:jc w:val="center"/>
        <w:rPr>
          <w:rFonts w:hint="eastAsia" w:ascii="宋体" w:hAnsi="宋体" w:cs="宋体"/>
          <w:b/>
          <w:bCs/>
          <w:sz w:val="32"/>
          <w:szCs w:val="32"/>
        </w:rPr>
      </w:pPr>
    </w:p>
    <w:p w14:paraId="202CCF86">
      <w:pPr>
        <w:pStyle w:val="3"/>
        <w:keepNext w:val="0"/>
        <w:keepLines w:val="0"/>
        <w:pageBreakBefore w:val="0"/>
        <w:kinsoku/>
        <w:wordWrap/>
        <w:overflowPunct/>
        <w:topLinePunct w:val="0"/>
        <w:autoSpaceDE/>
        <w:bidi w:val="0"/>
        <w:snapToGrid/>
        <w:spacing w:line="380" w:lineRule="exact"/>
        <w:jc w:val="center"/>
        <w:rPr>
          <w:rFonts w:hint="eastAsia" w:ascii="宋体" w:hAnsi="宋体" w:cs="宋体"/>
          <w:b/>
          <w:bCs/>
          <w:sz w:val="32"/>
          <w:szCs w:val="32"/>
        </w:rPr>
      </w:pPr>
    </w:p>
    <w:p w14:paraId="6118139D">
      <w:pPr>
        <w:pStyle w:val="3"/>
        <w:keepNext w:val="0"/>
        <w:keepLines w:val="0"/>
        <w:pageBreakBefore w:val="0"/>
        <w:kinsoku/>
        <w:wordWrap/>
        <w:overflowPunct/>
        <w:topLinePunct w:val="0"/>
        <w:autoSpaceDE/>
        <w:bidi w:val="0"/>
        <w:snapToGrid/>
        <w:spacing w:line="380" w:lineRule="exact"/>
        <w:jc w:val="center"/>
        <w:rPr>
          <w:rFonts w:hint="eastAsia" w:ascii="宋体" w:hAnsi="宋体" w:cs="宋体"/>
          <w:b/>
          <w:bCs/>
          <w:sz w:val="32"/>
          <w:szCs w:val="32"/>
        </w:rPr>
      </w:pPr>
    </w:p>
    <w:p w14:paraId="52678C55">
      <w:pPr>
        <w:pStyle w:val="3"/>
        <w:keepNext w:val="0"/>
        <w:keepLines w:val="0"/>
        <w:pageBreakBefore w:val="0"/>
        <w:kinsoku/>
        <w:wordWrap/>
        <w:overflowPunct/>
        <w:topLinePunct w:val="0"/>
        <w:autoSpaceDE/>
        <w:bidi w:val="0"/>
        <w:snapToGrid/>
        <w:spacing w:line="380" w:lineRule="exact"/>
        <w:jc w:val="center"/>
        <w:rPr>
          <w:rFonts w:hint="eastAsia" w:ascii="宋体" w:hAnsi="宋体" w:cs="宋体"/>
          <w:bCs/>
          <w:spacing w:val="40"/>
          <w:sz w:val="32"/>
          <w:szCs w:val="32"/>
        </w:rPr>
      </w:pPr>
      <w:r>
        <w:rPr>
          <w:rFonts w:hint="eastAsia" w:ascii="宋体" w:hAnsi="宋体" w:cs="宋体"/>
          <w:b/>
          <w:bCs/>
          <w:sz w:val="32"/>
          <w:szCs w:val="32"/>
        </w:rPr>
        <w:t>第四部分  合同要求</w:t>
      </w:r>
      <w:bookmarkStart w:id="24" w:name="_Toc263437593"/>
      <w:bookmarkStart w:id="25" w:name="_Toc322033398"/>
      <w:bookmarkStart w:id="26" w:name="_Toc263670121"/>
      <w:bookmarkStart w:id="27" w:name="_Toc263336367"/>
      <w:bookmarkStart w:id="28" w:name="_Toc322033402"/>
      <w:bookmarkStart w:id="29" w:name="_Toc13659"/>
    </w:p>
    <w:p w14:paraId="36E7B5E4">
      <w:pPr>
        <w:pStyle w:val="13"/>
        <w:keepNext w:val="0"/>
        <w:keepLines w:val="0"/>
        <w:pageBreakBefore w:val="0"/>
        <w:kinsoku/>
        <w:wordWrap/>
        <w:overflowPunct/>
        <w:topLinePunct w:val="0"/>
        <w:autoSpaceDE/>
        <w:bidi w:val="0"/>
        <w:snapToGrid/>
        <w:spacing w:before="200" w:line="380" w:lineRule="exact"/>
        <w:jc w:val="both"/>
        <w:rPr>
          <w:rFonts w:hint="eastAsia" w:hAnsi="宋体" w:cs="仿宋"/>
          <w:bCs w:val="0"/>
          <w:sz w:val="24"/>
          <w:szCs w:val="24"/>
        </w:rPr>
      </w:pPr>
      <w:r>
        <w:rPr>
          <w:rFonts w:hint="eastAsia" w:hAnsi="宋体" w:cs="仿宋"/>
          <w:bCs w:val="0"/>
          <w:sz w:val="24"/>
          <w:szCs w:val="24"/>
        </w:rPr>
        <w:t>一、合同要点</w:t>
      </w:r>
    </w:p>
    <w:p w14:paraId="228A70D0">
      <w:pPr>
        <w:pStyle w:val="13"/>
        <w:keepNext w:val="0"/>
        <w:keepLines w:val="0"/>
        <w:pageBreakBefore w:val="0"/>
        <w:widowControl/>
        <w:kinsoku/>
        <w:wordWrap/>
        <w:overflowPunct/>
        <w:topLinePunct w:val="0"/>
        <w:autoSpaceDE/>
        <w:autoSpaceDN/>
        <w:bidi w:val="0"/>
        <w:adjustRightInd/>
        <w:snapToGrid w:val="0"/>
        <w:spacing w:line="380" w:lineRule="exact"/>
        <w:ind w:firstLine="480" w:firstLineChars="200"/>
        <w:jc w:val="both"/>
        <w:textAlignment w:val="auto"/>
        <w:rPr>
          <w:rFonts w:hint="eastAsia" w:hAnsi="宋体" w:cs="仿宋"/>
          <w:b w:val="0"/>
          <w:sz w:val="24"/>
        </w:rPr>
      </w:pPr>
      <w:bookmarkStart w:id="30" w:name="_Toc391912327"/>
      <w:bookmarkStart w:id="31" w:name="_Toc391912304"/>
      <w:r>
        <w:rPr>
          <w:rFonts w:hint="eastAsia" w:hAnsi="宋体" w:cs="仿宋"/>
          <w:b w:val="0"/>
          <w:sz w:val="24"/>
        </w:rPr>
        <w:t>（一）竞得人应在竞投结果公示期满后5个工作日内与项目业主方签订合同；</w:t>
      </w:r>
    </w:p>
    <w:p w14:paraId="23FE411C">
      <w:pPr>
        <w:pStyle w:val="13"/>
        <w:keepNext w:val="0"/>
        <w:keepLines w:val="0"/>
        <w:pageBreakBefore w:val="0"/>
        <w:widowControl/>
        <w:kinsoku/>
        <w:wordWrap/>
        <w:overflowPunct/>
        <w:topLinePunct w:val="0"/>
        <w:autoSpaceDE/>
        <w:autoSpaceDN/>
        <w:bidi w:val="0"/>
        <w:snapToGrid/>
        <w:spacing w:line="380" w:lineRule="exact"/>
        <w:ind w:firstLine="480" w:firstLineChars="200"/>
        <w:jc w:val="left"/>
        <w:textAlignment w:val="auto"/>
        <w:rPr>
          <w:rFonts w:hint="eastAsia" w:hAnsi="宋体" w:cs="仿宋"/>
          <w:sz w:val="24"/>
          <w:highlight w:val="yellow"/>
        </w:rPr>
      </w:pPr>
      <w:r>
        <w:rPr>
          <w:rFonts w:hint="eastAsia" w:hAnsi="宋体" w:cs="仿宋"/>
          <w:b w:val="0"/>
          <w:sz w:val="24"/>
        </w:rPr>
        <w:t>（二）合同履约保证金：在本合同签订前</w:t>
      </w:r>
      <w:r>
        <w:rPr>
          <w:rFonts w:hint="eastAsia" w:hAnsi="宋体" w:cs="仿宋"/>
          <w:b w:val="0"/>
          <w:sz w:val="24"/>
          <w:u w:val="single"/>
        </w:rPr>
        <w:t>2</w:t>
      </w:r>
      <w:r>
        <w:rPr>
          <w:rFonts w:hint="eastAsia" w:hAnsi="宋体" w:cs="仿宋"/>
          <w:b w:val="0"/>
          <w:sz w:val="24"/>
        </w:rPr>
        <w:t>天内，乙方须一次性向甲方交纳履行本合同的保证金</w:t>
      </w:r>
      <w:r>
        <w:rPr>
          <w:rFonts w:hint="eastAsia" w:hAnsi="宋体" w:cs="仿宋"/>
          <w:b w:val="0"/>
          <w:sz w:val="24"/>
          <w:lang w:eastAsia="zh-CN"/>
        </w:rPr>
        <w:t>，</w:t>
      </w:r>
      <w:r>
        <w:rPr>
          <w:rFonts w:hint="eastAsia" w:hAnsi="宋体" w:cs="仿宋"/>
          <w:b w:val="0"/>
          <w:sz w:val="24"/>
          <w:lang w:val="en-US" w:eastAsia="zh-CN"/>
        </w:rPr>
        <w:t>金额</w:t>
      </w:r>
      <w:r>
        <w:rPr>
          <w:rFonts w:hint="eastAsia" w:hAnsi="宋体" w:cs="仿宋"/>
          <w:b w:val="0"/>
          <w:sz w:val="24"/>
          <w:u w:val="single"/>
          <w:lang w:val="en-US" w:eastAsia="zh-CN"/>
        </w:rPr>
        <w:t xml:space="preserve"> 详见附表 </w:t>
      </w:r>
      <w:r>
        <w:rPr>
          <w:rFonts w:hint="eastAsia" w:hAnsi="宋体" w:cs="仿宋"/>
          <w:b w:val="0"/>
          <w:sz w:val="24"/>
        </w:rPr>
        <w:t>，合同履约保证金不计利息，不抵作租金。租赁期届满，如乙方无违约行为（包括取得注销工商牌照登记证明），合同履约保证金全额无息退回给乙方；如乙方中途自行退租或违反本合同有关条款，视作违约处理, 甲方有权单方解除合同，合同履约保证金归甲方所有，且收回乙方租赁上述出租物业的使用权。如甲方违约，</w:t>
      </w:r>
      <w:r>
        <w:rPr>
          <w:rFonts w:hint="eastAsia" w:hAnsi="宋体" w:cs="仿宋"/>
          <w:b w:val="0"/>
          <w:bCs w:val="0"/>
          <w:sz w:val="24"/>
        </w:rPr>
        <w:t>退回合同履约保证金（具体以合同条款为准）</w:t>
      </w:r>
      <w:r>
        <w:rPr>
          <w:rFonts w:hint="eastAsia" w:hAnsi="宋体" w:cs="仿宋"/>
          <w:sz w:val="24"/>
        </w:rPr>
        <w:t>。</w:t>
      </w:r>
    </w:p>
    <w:p w14:paraId="108ECE93">
      <w:pPr>
        <w:keepNext w:val="0"/>
        <w:keepLines w:val="0"/>
        <w:pageBreakBefore w:val="0"/>
        <w:widowControl/>
        <w:kinsoku/>
        <w:wordWrap/>
        <w:overflowPunct/>
        <w:topLinePunct w:val="0"/>
        <w:autoSpaceDE/>
        <w:autoSpaceDN/>
        <w:bidi w:val="0"/>
        <w:adjustRightInd w:val="0"/>
        <w:snapToGrid/>
        <w:spacing w:line="380" w:lineRule="exact"/>
        <w:ind w:left="1" w:firstLine="480" w:firstLineChars="200"/>
        <w:textAlignment w:val="auto"/>
        <w:rPr>
          <w:rFonts w:hint="eastAsia" w:ascii="宋体" w:hAnsi="宋体" w:cs="仿宋"/>
          <w:sz w:val="24"/>
        </w:rPr>
      </w:pPr>
      <w:r>
        <w:rPr>
          <w:rFonts w:hint="eastAsia" w:ascii="宋体" w:hAnsi="宋体" w:cs="仿宋"/>
          <w:sz w:val="24"/>
        </w:rPr>
        <w:t>（三）项目业主单位基于自身经营情况，可能会安排一家或多家下属公司（例如物业公司）与竞得人签订一份或多份合同，合同总价与竞得价格一致，竞得人应无条件接受。</w:t>
      </w:r>
    </w:p>
    <w:p w14:paraId="2D2B0C96">
      <w:pPr>
        <w:keepNext w:val="0"/>
        <w:keepLines w:val="0"/>
        <w:pageBreakBefore w:val="0"/>
        <w:widowControl/>
        <w:kinsoku/>
        <w:wordWrap/>
        <w:overflowPunct/>
        <w:topLinePunct w:val="0"/>
        <w:autoSpaceDE/>
        <w:autoSpaceDN/>
        <w:bidi w:val="0"/>
        <w:adjustRightInd w:val="0"/>
        <w:snapToGrid/>
        <w:spacing w:line="380" w:lineRule="exact"/>
        <w:ind w:firstLine="480" w:firstLineChars="200"/>
        <w:textAlignment w:val="auto"/>
        <w:rPr>
          <w:rFonts w:hint="eastAsia" w:ascii="宋体" w:hAnsi="宋体" w:cs="仿宋"/>
          <w:sz w:val="24"/>
        </w:rPr>
      </w:pPr>
      <w:r>
        <w:rPr>
          <w:rFonts w:hint="eastAsia" w:ascii="宋体" w:hAnsi="宋体" w:cs="仿宋"/>
          <w:sz w:val="24"/>
        </w:rPr>
        <w:t>（四）在填写合同条款中，如没有内容填写，请注明“无”，并保持主体框架内容不变。如有需要，可依据实际情况增列内容。</w:t>
      </w:r>
    </w:p>
    <w:p w14:paraId="14024096">
      <w:pPr>
        <w:keepNext w:val="0"/>
        <w:keepLines w:val="0"/>
        <w:pageBreakBefore w:val="0"/>
        <w:kinsoku/>
        <w:wordWrap/>
        <w:overflowPunct/>
        <w:topLinePunct w:val="0"/>
        <w:autoSpaceDE/>
        <w:bidi w:val="0"/>
        <w:adjustRightInd w:val="0"/>
        <w:snapToGrid/>
        <w:spacing w:line="380" w:lineRule="exact"/>
        <w:rPr>
          <w:rFonts w:hint="eastAsia" w:ascii="宋体" w:hAnsi="宋体" w:cs="仿宋"/>
          <w:b/>
          <w:sz w:val="24"/>
        </w:rPr>
      </w:pPr>
      <w:r>
        <w:rPr>
          <w:rFonts w:hint="eastAsia" w:ascii="宋体" w:hAnsi="宋体" w:cs="仿宋"/>
          <w:b/>
          <w:sz w:val="24"/>
        </w:rPr>
        <w:t>二、合同指导文本</w:t>
      </w:r>
      <w:bookmarkEnd w:id="24"/>
      <w:bookmarkEnd w:id="25"/>
      <w:bookmarkEnd w:id="26"/>
      <w:bookmarkEnd w:id="27"/>
      <w:bookmarkEnd w:id="28"/>
      <w:bookmarkEnd w:id="29"/>
      <w:bookmarkEnd w:id="30"/>
      <w:bookmarkEnd w:id="31"/>
    </w:p>
    <w:p w14:paraId="0B9000E7">
      <w:pPr>
        <w:keepNext w:val="0"/>
        <w:keepLines w:val="0"/>
        <w:pageBreakBefore w:val="0"/>
        <w:kinsoku/>
        <w:wordWrap/>
        <w:overflowPunct/>
        <w:topLinePunct w:val="0"/>
        <w:autoSpaceDE/>
        <w:bidi w:val="0"/>
        <w:snapToGrid/>
        <w:spacing w:line="38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b/>
          <w:bCs/>
          <w:sz w:val="30"/>
          <w:szCs w:val="30"/>
          <w:lang w:val="en-US" w:eastAsia="zh-CN"/>
        </w:rPr>
        <w:t xml:space="preserve">   </w:t>
      </w:r>
      <w:r>
        <w:rPr>
          <w:rFonts w:hint="eastAsia" w:ascii="楷体_GB2312" w:hAnsi="楷体_GB2312" w:eastAsia="楷体_GB2312" w:cs="楷体_GB2312"/>
          <w:b/>
          <w:bCs/>
          <w:sz w:val="30"/>
          <w:szCs w:val="30"/>
        </w:rPr>
        <w:t>天河区农村集体资产交易租赁合同（版）</w:t>
      </w:r>
      <w:r>
        <w:rPr>
          <w:rFonts w:hint="eastAsia" w:ascii="楷体_GB2312" w:hAnsi="楷体_GB2312" w:eastAsia="楷体_GB2312" w:cs="楷体_GB2312"/>
          <w:sz w:val="28"/>
          <w:szCs w:val="28"/>
        </w:rPr>
        <w:t xml:space="preserve">   </w:t>
      </w:r>
    </w:p>
    <w:p w14:paraId="3A44C873">
      <w:pPr>
        <w:keepNext w:val="0"/>
        <w:keepLines w:val="0"/>
        <w:pageBreakBefore w:val="0"/>
        <w:tabs>
          <w:tab w:val="left" w:pos="532"/>
        </w:tabs>
        <w:kinsoku/>
        <w:wordWrap/>
        <w:overflowPunct/>
        <w:topLinePunct w:val="0"/>
        <w:autoSpaceDE/>
        <w:bidi w:val="0"/>
        <w:snapToGrid/>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8"/>
          <w:szCs w:val="28"/>
        </w:rPr>
        <w:t xml:space="preserve">    </w:t>
      </w:r>
      <w:r>
        <w:rPr>
          <w:rFonts w:hint="eastAsia" w:ascii="楷体_GB2312" w:hAnsi="楷体_GB2312" w:eastAsia="楷体_GB2312" w:cs="楷体_GB2312"/>
          <w:sz w:val="24"/>
          <w:szCs w:val="24"/>
        </w:rPr>
        <w:t>出租人（以下简称“甲方”）：</w:t>
      </w:r>
      <w:r>
        <w:rPr>
          <w:rFonts w:hint="eastAsia" w:ascii="楷体_GB2312" w:hAnsi="楷体_GB2312" w:eastAsia="楷体_GB2312" w:cs="楷体_GB2312"/>
          <w:sz w:val="24"/>
          <w:szCs w:val="24"/>
          <w:lang w:val="en-US" w:eastAsia="zh-CN"/>
        </w:rPr>
        <w:t>广州市骏凯置业有限公司</w:t>
      </w:r>
      <w:r>
        <w:rPr>
          <w:rFonts w:hint="eastAsia" w:ascii="楷体_GB2312" w:hAnsi="楷体_GB2312" w:eastAsia="楷体_GB2312" w:cs="楷体_GB2312"/>
          <w:sz w:val="24"/>
          <w:szCs w:val="24"/>
        </w:rPr>
        <w:t xml:space="preserve">         </w:t>
      </w:r>
    </w:p>
    <w:p w14:paraId="7D78AA62">
      <w:pPr>
        <w:keepNext w:val="0"/>
        <w:keepLines w:val="0"/>
        <w:pageBreakBefore w:val="0"/>
        <w:widowControl w:val="0"/>
        <w:tabs>
          <w:tab w:val="left" w:pos="840"/>
        </w:tabs>
        <w:kinsoku/>
        <w:wordWrap/>
        <w:overflowPunct/>
        <w:topLinePunct w:val="0"/>
        <w:autoSpaceDE/>
        <w:autoSpaceDN/>
        <w:bidi w:val="0"/>
        <w:adjustRightInd w:val="0"/>
        <w:snapToGrid/>
        <w:spacing w:line="380" w:lineRule="exact"/>
        <w:ind w:left="88" w:leftChars="40"/>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承租人（以下简称“乙方”）：                   </w:t>
      </w:r>
    </w:p>
    <w:p w14:paraId="7960F416">
      <w:pPr>
        <w:keepNext w:val="0"/>
        <w:keepLines w:val="0"/>
        <w:pageBreakBefore w:val="0"/>
        <w:tabs>
          <w:tab w:val="left" w:pos="540"/>
        </w:tabs>
        <w:kinsoku/>
        <w:wordWrap/>
        <w:overflowPunct/>
        <w:topLinePunct w:val="0"/>
        <w:autoSpaceDE/>
        <w:bidi w:val="0"/>
        <w:snapToGrid/>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t>根据《中华人民共和国民法典》及有关法律、法规的规定，为明确双方权利义务，甲乙双方本着平等自愿、诚实信用的原则，协商一致订立本合同，并共同遵守。</w:t>
      </w:r>
    </w:p>
    <w:p w14:paraId="66C2F15B">
      <w:pPr>
        <w:keepNext w:val="0"/>
        <w:keepLines w:val="0"/>
        <w:pageBreakBefore w:val="0"/>
        <w:numPr>
          <w:ilvl w:val="0"/>
          <w:numId w:val="5"/>
        </w:numPr>
        <w:tabs>
          <w:tab w:val="left" w:pos="540"/>
        </w:tabs>
        <w:kinsoku/>
        <w:wordWrap/>
        <w:overflowPunct/>
        <w:topLinePunct w:val="0"/>
        <w:autoSpaceDE/>
        <w:bidi w:val="0"/>
        <w:snapToGrid/>
        <w:spacing w:line="380" w:lineRule="exact"/>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租赁物业的位置及面积</w:t>
      </w:r>
    </w:p>
    <w:p w14:paraId="332E8F29">
      <w:pPr>
        <w:keepNext w:val="0"/>
        <w:keepLines w:val="0"/>
        <w:pageBreakBefore w:val="0"/>
        <w:tabs>
          <w:tab w:val="left" w:pos="540"/>
          <w:tab w:val="left" w:pos="580"/>
        </w:tabs>
        <w:kinsoku/>
        <w:wordWrap/>
        <w:overflowPunct/>
        <w:topLinePunct w:val="0"/>
        <w:autoSpaceDE/>
        <w:bidi w:val="0"/>
        <w:snapToGrid/>
        <w:spacing w:line="380" w:lineRule="exact"/>
        <w:ind w:firstLine="480" w:firstLineChars="200"/>
        <w:rPr>
          <w:rFonts w:hint="eastAsia" w:ascii="楷体_GB2312" w:hAnsi="楷体" w:eastAsia="楷体_GB2312" w:cs="楷体"/>
          <w:b/>
          <w:bCs/>
          <w:sz w:val="24"/>
          <w:szCs w:val="24"/>
        </w:rPr>
      </w:pPr>
      <w:r>
        <w:rPr>
          <w:rFonts w:hint="eastAsia" w:ascii="楷体_GB2312" w:hAnsi="楷体_GB2312" w:eastAsia="楷体_GB2312" w:cs="楷体_GB2312"/>
          <w:sz w:val="24"/>
          <w:szCs w:val="24"/>
        </w:rPr>
        <w:t>位置：</w:t>
      </w:r>
      <w:r>
        <w:rPr>
          <w:rFonts w:hint="eastAsia" w:ascii="楷体_GB2312" w:hAnsi="楷体" w:eastAsia="楷体_GB2312" w:cs="楷体"/>
          <w:sz w:val="24"/>
          <w:szCs w:val="24"/>
        </w:rPr>
        <w:t>甲方将位于广州市天河区石牌东路87、89、91、93、95、97号首层</w:t>
      </w:r>
      <w:r>
        <w:rPr>
          <w:rFonts w:ascii="楷体_GB2312" w:hAnsi="楷体" w:eastAsia="楷体_GB2312" w:cs="楷体"/>
          <w:sz w:val="24"/>
          <w:szCs w:val="24"/>
          <w:u w:val="single"/>
        </w:rPr>
        <w:t xml:space="preserve">     </w:t>
      </w:r>
      <w:r>
        <w:rPr>
          <w:rFonts w:hint="eastAsia" w:ascii="楷体_GB2312" w:hAnsi="楷体" w:eastAsia="楷体_GB2312" w:cs="楷体"/>
          <w:sz w:val="24"/>
          <w:szCs w:val="24"/>
        </w:rPr>
        <w:t>类</w:t>
      </w:r>
      <w:r>
        <w:rPr>
          <w:rFonts w:hint="eastAsia" w:ascii="楷体_GB2312" w:hAnsi="楷体" w:eastAsia="楷体_GB2312" w:cs="楷体"/>
          <w:sz w:val="24"/>
          <w:szCs w:val="24"/>
          <w:u w:val="single"/>
        </w:rPr>
        <w:t xml:space="preserve"> </w:t>
      </w:r>
      <w:r>
        <w:rPr>
          <w:rFonts w:ascii="楷体_GB2312" w:hAnsi="楷体" w:eastAsia="楷体_GB2312" w:cs="楷体"/>
          <w:sz w:val="24"/>
          <w:szCs w:val="24"/>
          <w:u w:val="single"/>
        </w:rPr>
        <w:t xml:space="preserve">   </w:t>
      </w:r>
      <w:r>
        <w:rPr>
          <w:rFonts w:hint="eastAsia" w:ascii="楷体_GB2312" w:hAnsi="楷体" w:eastAsia="楷体_GB2312" w:cs="楷体"/>
          <w:sz w:val="24"/>
          <w:szCs w:val="24"/>
        </w:rPr>
        <w:t>铺约</w:t>
      </w:r>
      <w:r>
        <w:rPr>
          <w:rFonts w:hint="eastAsia" w:ascii="楷体_GB2312" w:hAnsi="楷体" w:eastAsia="楷体_GB2312" w:cs="楷体"/>
          <w:sz w:val="24"/>
          <w:szCs w:val="24"/>
          <w:u w:val="single"/>
          <w:lang w:val="en-US" w:eastAsia="zh-CN"/>
        </w:rPr>
        <w:t xml:space="preserve">        </w:t>
      </w:r>
      <w:r>
        <w:rPr>
          <w:rFonts w:hint="eastAsia" w:ascii="楷体_GB2312" w:hAnsi="楷体" w:eastAsia="楷体_GB2312" w:cs="楷体"/>
          <w:sz w:val="24"/>
          <w:szCs w:val="24"/>
        </w:rPr>
        <w:t>平方米的物业（以下简称“租赁位置”）出租给乙方按物业性质使用，乙方愿意承租。甲方有权根据市场的经营状况对市场区域档位类别进行重新配置，乙方表示同意并无条件配合。</w:t>
      </w:r>
    </w:p>
    <w:p w14:paraId="5A6C3299">
      <w:pPr>
        <w:keepNext w:val="0"/>
        <w:keepLines w:val="0"/>
        <w:pageBreakBefore w:val="0"/>
        <w:tabs>
          <w:tab w:val="left" w:pos="540"/>
        </w:tabs>
        <w:kinsoku/>
        <w:wordWrap/>
        <w:overflowPunct/>
        <w:topLinePunct w:val="0"/>
        <w:autoSpaceDE/>
        <w:bidi w:val="0"/>
        <w:snapToGrid/>
        <w:spacing w:line="380" w:lineRule="exact"/>
        <w:ind w:firstLine="482" w:firstLineChars="200"/>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第二条 租赁期限、交付及用途</w:t>
      </w:r>
    </w:p>
    <w:p w14:paraId="3D65D526">
      <w:pPr>
        <w:keepNext w:val="0"/>
        <w:keepLines w:val="0"/>
        <w:pageBreakBefore w:val="0"/>
        <w:tabs>
          <w:tab w:val="left" w:pos="540"/>
        </w:tabs>
        <w:kinsoku/>
        <w:wordWrap/>
        <w:overflowPunct/>
        <w:topLinePunct w:val="0"/>
        <w:autoSpaceDE/>
        <w:bidi w:val="0"/>
        <w:snapToGrid/>
        <w:spacing w:line="380" w:lineRule="exact"/>
        <w:ind w:firstLine="480" w:firstLineChars="200"/>
        <w:rPr>
          <w:rFonts w:hint="eastAsia" w:ascii="楷体_GB2312" w:hAnsi="楷体" w:eastAsia="楷体_GB2312" w:cs="楷体"/>
          <w:sz w:val="24"/>
          <w:szCs w:val="24"/>
        </w:rPr>
      </w:pPr>
      <w:r>
        <w:rPr>
          <w:rFonts w:hint="eastAsia" w:ascii="楷体_GB2312" w:hAnsi="楷体_GB2312" w:eastAsia="楷体_GB2312" w:cs="楷体_GB2312"/>
          <w:sz w:val="24"/>
          <w:szCs w:val="24"/>
        </w:rPr>
        <w:t>租赁期限从</w:t>
      </w:r>
      <w:r>
        <w:rPr>
          <w:rFonts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年</w:t>
      </w:r>
      <w:r>
        <w:rPr>
          <w:rFonts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月</w:t>
      </w:r>
      <w:r>
        <w:rPr>
          <w:rFonts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日起至</w:t>
      </w:r>
      <w:r>
        <w:rPr>
          <w:rFonts w:hint="eastAsia" w:ascii="楷体_GB2312" w:hAnsi="楷体" w:eastAsia="楷体_GB2312" w:cs="楷体"/>
          <w:sz w:val="24"/>
          <w:szCs w:val="24"/>
          <w:u w:val="single"/>
          <w:lang w:val="en-US" w:eastAsia="zh-CN"/>
        </w:rPr>
        <w:t xml:space="preserve">     </w:t>
      </w:r>
      <w:r>
        <w:rPr>
          <w:rFonts w:hint="eastAsia" w:ascii="楷体_GB2312" w:hAnsi="楷体_GB2312" w:eastAsia="楷体_GB2312" w:cs="楷体_GB2312"/>
          <w:sz w:val="24"/>
          <w:szCs w:val="24"/>
        </w:rPr>
        <w:t>年</w:t>
      </w:r>
      <w:r>
        <w:rPr>
          <w:rFonts w:hint="eastAsia" w:ascii="楷体_GB2312" w:hAnsi="楷体_GB2312" w:eastAsia="楷体_GB2312" w:cs="楷体_GB2312"/>
          <w:sz w:val="24"/>
          <w:szCs w:val="24"/>
          <w:u w:val="single"/>
          <w:lang w:val="en-US" w:eastAsia="zh-CN"/>
        </w:rPr>
        <w:t xml:space="preserve">    </w:t>
      </w:r>
      <w:r>
        <w:rPr>
          <w:rFonts w:hint="eastAsia" w:ascii="楷体_GB2312" w:hAnsi="楷体_GB2312" w:eastAsia="楷体_GB2312" w:cs="楷体_GB2312"/>
          <w:sz w:val="24"/>
          <w:szCs w:val="24"/>
        </w:rPr>
        <w:t>月</w:t>
      </w:r>
      <w:r>
        <w:rPr>
          <w:rFonts w:hint="eastAsia" w:ascii="楷体_GB2312" w:hAnsi="楷体_GB2312" w:eastAsia="楷体_GB2312" w:cs="楷体_GB2312"/>
          <w:sz w:val="24"/>
          <w:szCs w:val="24"/>
          <w:u w:val="single"/>
          <w:lang w:val="en-US" w:eastAsia="zh-CN"/>
        </w:rPr>
        <w:t xml:space="preserve">     </w:t>
      </w:r>
      <w:r>
        <w:rPr>
          <w:rFonts w:hint="eastAsia" w:ascii="楷体_GB2312" w:hAnsi="楷体_GB2312" w:eastAsia="楷体_GB2312" w:cs="楷体_GB2312"/>
          <w:sz w:val="24"/>
          <w:szCs w:val="24"/>
        </w:rPr>
        <w:t>日止。</w:t>
      </w:r>
      <w:r>
        <w:rPr>
          <w:rFonts w:hint="eastAsia" w:ascii="楷体_GB2312" w:hAnsi="楷体" w:eastAsia="楷体_GB2312" w:cs="楷体"/>
          <w:sz w:val="24"/>
          <w:szCs w:val="24"/>
        </w:rPr>
        <w:t>本合同签订之日，甲方已将租赁位置按现状交付给乙方使用，乙方无异议并已接收，视为甲方已完整、适当地履行了交付租赁位置的义务。</w:t>
      </w:r>
    </w:p>
    <w:p w14:paraId="7A841C9D">
      <w:pPr>
        <w:keepNext w:val="0"/>
        <w:keepLines w:val="0"/>
        <w:pageBreakBefore w:val="0"/>
        <w:numPr>
          <w:ilvl w:val="0"/>
          <w:numId w:val="6"/>
        </w:numPr>
        <w:tabs>
          <w:tab w:val="left" w:pos="540"/>
          <w:tab w:val="left" w:pos="1080"/>
        </w:tabs>
        <w:kinsoku/>
        <w:wordWrap/>
        <w:overflowPunct/>
        <w:topLinePunct w:val="0"/>
        <w:autoSpaceDE/>
        <w:bidi w:val="0"/>
        <w:snapToGrid/>
        <w:spacing w:line="380" w:lineRule="exact"/>
        <w:rPr>
          <w:rFonts w:hint="eastAsia" w:ascii="楷体_GB2312" w:hAnsi="楷体_GB2312" w:eastAsia="楷体_GB2312" w:cs="楷体_GB2312"/>
          <w:b/>
          <w:sz w:val="24"/>
          <w:szCs w:val="24"/>
        </w:rPr>
      </w:pPr>
      <w:r>
        <w:rPr>
          <w:rFonts w:hint="eastAsia" w:ascii="楷体_GB2312" w:hAnsi="楷体_GB2312" w:eastAsia="楷体_GB2312" w:cs="楷体_GB2312"/>
          <w:b/>
          <w:sz w:val="24"/>
          <w:szCs w:val="24"/>
        </w:rPr>
        <w:t xml:space="preserve"> 乙方应缴款项及时间</w:t>
      </w:r>
    </w:p>
    <w:p w14:paraId="70E66808">
      <w:pPr>
        <w:keepNext w:val="0"/>
        <w:keepLines w:val="0"/>
        <w:pageBreakBefore w:val="0"/>
        <w:tabs>
          <w:tab w:val="left" w:pos="540"/>
          <w:tab w:val="left" w:pos="1080"/>
        </w:tabs>
        <w:kinsoku/>
        <w:wordWrap/>
        <w:overflowPunct/>
        <w:topLinePunct w:val="0"/>
        <w:autoSpaceDE/>
        <w:bidi w:val="0"/>
        <w:snapToGrid/>
        <w:spacing w:line="380" w:lineRule="exact"/>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（一）租金</w:t>
      </w:r>
    </w:p>
    <w:p w14:paraId="11E48FCE">
      <w:pPr>
        <w:keepNext w:val="0"/>
        <w:keepLines w:val="0"/>
        <w:pageBreakBefore w:val="0"/>
        <w:kinsoku/>
        <w:wordWrap/>
        <w:overflowPunct/>
        <w:topLinePunct w:val="0"/>
        <w:autoSpaceDE/>
        <w:autoSpaceDN w:val="0"/>
        <w:bidi w:val="0"/>
        <w:snapToGrid/>
        <w:spacing w:line="380" w:lineRule="exact"/>
        <w:jc w:val="left"/>
        <w:textAlignment w:val="baseline"/>
        <w:rPr>
          <w:rFonts w:hint="eastAsia" w:ascii="楷体_GB2312" w:hAnsi="楷体_GB2312" w:eastAsia="楷体_GB2312" w:cs="楷体_GB2312"/>
          <w:bCs/>
          <w:sz w:val="24"/>
          <w:szCs w:val="24"/>
          <w:lang w:eastAsia="zh-CN"/>
        </w:rPr>
      </w:pPr>
      <w:r>
        <w:rPr>
          <w:rFonts w:hint="eastAsia" w:ascii="楷体_GB2312" w:hAnsi="楷体_GB2312" w:eastAsia="楷体_GB2312" w:cs="楷体_GB2312"/>
          <w:bCs/>
          <w:sz w:val="24"/>
          <w:szCs w:val="24"/>
        </w:rPr>
        <w:t>租赁物业的每月租金为</w:t>
      </w:r>
      <w:r>
        <w:rPr>
          <w:rFonts w:hint="default" w:ascii="Arial" w:hAnsi="Arial" w:eastAsia="楷体_GB2312" w:cs="Arial"/>
          <w:bCs/>
          <w:sz w:val="24"/>
          <w:szCs w:val="24"/>
        </w:rPr>
        <w:t>¥</w:t>
      </w:r>
      <w:r>
        <w:rPr>
          <w:rFonts w:ascii="楷体_GB2312" w:hAnsi="楷体" w:eastAsia="楷体_GB2312" w:cs="楷体"/>
          <w:sz w:val="24"/>
          <w:szCs w:val="24"/>
          <w:u w:val="single"/>
        </w:rPr>
        <w:t xml:space="preserve">    </w:t>
      </w:r>
      <w:r>
        <w:rPr>
          <w:rFonts w:hint="eastAsia" w:ascii="楷体_GB2312" w:hAnsi="楷体" w:eastAsia="楷体_GB2312" w:cs="楷体"/>
          <w:sz w:val="24"/>
          <w:szCs w:val="24"/>
          <w:u w:val="single"/>
          <w:lang w:val="en-US" w:eastAsia="zh-CN"/>
        </w:rPr>
        <w:t xml:space="preserve">   </w:t>
      </w:r>
      <w:r>
        <w:rPr>
          <w:rFonts w:ascii="楷体_GB2312" w:hAnsi="楷体" w:eastAsia="楷体_GB2312" w:cs="楷体"/>
          <w:sz w:val="24"/>
          <w:szCs w:val="24"/>
          <w:u w:val="single"/>
        </w:rPr>
        <w:t xml:space="preserve"> </w:t>
      </w:r>
      <w:r>
        <w:rPr>
          <w:rFonts w:hint="eastAsia" w:ascii="楷体_GB2312" w:hAnsi="楷体_GB2312" w:eastAsia="楷体_GB2312" w:cs="楷体_GB2312"/>
          <w:bCs/>
          <w:sz w:val="24"/>
          <w:szCs w:val="24"/>
        </w:rPr>
        <w:t>元（大写：人民币</w:t>
      </w:r>
      <w:r>
        <w:rPr>
          <w:rFonts w:hint="eastAsia" w:ascii="楷体_GB2312" w:hAnsi="楷体" w:eastAsia="楷体_GB2312" w:cs="楷体"/>
          <w:sz w:val="24"/>
          <w:szCs w:val="24"/>
          <w:u w:val="single"/>
        </w:rPr>
        <w:t xml:space="preserve"> </w:t>
      </w:r>
      <w:r>
        <w:rPr>
          <w:rFonts w:ascii="楷体_GB2312" w:hAnsi="楷体" w:eastAsia="楷体_GB2312" w:cs="楷体"/>
          <w:sz w:val="24"/>
          <w:szCs w:val="24"/>
          <w:u w:val="single"/>
        </w:rPr>
        <w:t xml:space="preserve">         </w:t>
      </w:r>
      <w:r>
        <w:rPr>
          <w:rFonts w:hint="eastAsia" w:ascii="楷体_GB2312" w:hAnsi="楷体_GB2312" w:eastAsia="楷体_GB2312" w:cs="楷体_GB2312"/>
          <w:bCs/>
          <w:sz w:val="24"/>
          <w:szCs w:val="24"/>
        </w:rPr>
        <w:t>元）</w:t>
      </w:r>
      <w:r>
        <w:rPr>
          <w:rFonts w:hint="eastAsia" w:ascii="楷体_GB2312" w:hAnsi="楷体_GB2312" w:eastAsia="楷体_GB2312" w:cs="楷体_GB2312"/>
          <w:bCs/>
          <w:sz w:val="24"/>
          <w:szCs w:val="24"/>
          <w:lang w:eastAsia="zh-CN"/>
        </w:rPr>
        <w:t>。</w:t>
      </w:r>
    </w:p>
    <w:p w14:paraId="1840039D">
      <w:pPr>
        <w:keepNext w:val="0"/>
        <w:keepLines w:val="0"/>
        <w:pageBreakBefore w:val="0"/>
        <w:kinsoku/>
        <w:wordWrap/>
        <w:overflowPunct/>
        <w:topLinePunct w:val="0"/>
        <w:autoSpaceDE/>
        <w:autoSpaceDN w:val="0"/>
        <w:bidi w:val="0"/>
        <w:snapToGrid/>
        <w:spacing w:line="380" w:lineRule="exact"/>
        <w:jc w:val="left"/>
        <w:textAlignment w:val="baseline"/>
        <w:rPr>
          <w:rFonts w:hint="eastAsia" w:ascii="楷体_GB2312" w:hAnsi="楷体_GB2312" w:eastAsia="楷体_GB2312" w:cs="楷体_GB2312"/>
          <w:sz w:val="24"/>
          <w:szCs w:val="24"/>
        </w:rPr>
      </w:pPr>
      <w:r>
        <w:rPr>
          <w:rFonts w:hint="eastAsia" w:ascii="楷体_GB2312" w:hAnsi="楷体_GB2312" w:eastAsia="楷体_GB2312" w:cs="楷体_GB2312"/>
          <w:bCs/>
          <w:sz w:val="24"/>
          <w:szCs w:val="24"/>
        </w:rPr>
        <w:t xml:space="preserve"> </w:t>
      </w:r>
      <w:r>
        <w:rPr>
          <w:rFonts w:hint="eastAsia" w:ascii="楷体_GB2312" w:hAnsi="楷体_GB2312" w:eastAsia="楷体_GB2312" w:cs="楷体_GB2312"/>
          <w:bCs/>
          <w:sz w:val="24"/>
          <w:szCs w:val="24"/>
          <w:lang w:val="en-US" w:eastAsia="zh-CN"/>
        </w:rPr>
        <w:t xml:space="preserve">  </w:t>
      </w:r>
      <w:r>
        <w:rPr>
          <w:rFonts w:hint="eastAsia" w:ascii="楷体_GB2312" w:hAnsi="楷体_GB2312" w:eastAsia="楷体_GB2312" w:cs="楷体_GB2312"/>
          <w:sz w:val="24"/>
          <w:szCs w:val="24"/>
        </w:rPr>
        <w:t>(</w:t>
      </w:r>
      <w:r>
        <w:rPr>
          <w:rFonts w:hint="eastAsia" w:ascii="楷体_GB2312" w:hAnsi="楷体_GB2312" w:eastAsia="楷体_GB2312" w:cs="楷体_GB2312"/>
          <w:sz w:val="24"/>
          <w:szCs w:val="24"/>
          <w:lang w:val="en-US" w:eastAsia="zh-CN"/>
        </w:rPr>
        <w:t>二</w:t>
      </w:r>
      <w:r>
        <w:rPr>
          <w:rFonts w:hint="eastAsia" w:ascii="楷体_GB2312" w:hAnsi="楷体_GB2312" w:eastAsia="楷体_GB2312" w:cs="楷体_GB2312"/>
          <w:sz w:val="24"/>
          <w:szCs w:val="24"/>
        </w:rPr>
        <w:t>)交纳时间</w:t>
      </w:r>
    </w:p>
    <w:p w14:paraId="7856B31B">
      <w:pPr>
        <w:keepNext w:val="0"/>
        <w:keepLines w:val="0"/>
        <w:pageBreakBefore w:val="0"/>
        <w:tabs>
          <w:tab w:val="left" w:pos="540"/>
          <w:tab w:val="left" w:pos="1080"/>
        </w:tabs>
        <w:kinsoku/>
        <w:wordWrap/>
        <w:overflowPunct/>
        <w:topLinePunct w:val="0"/>
        <w:autoSpaceDE/>
        <w:bidi w:val="0"/>
        <w:snapToGrid/>
        <w:spacing w:line="380" w:lineRule="exact"/>
        <w:rPr>
          <w:rFonts w:ascii="楷体_GB2312" w:hAnsi="楷体_GB2312" w:eastAsia="楷体_GB2312" w:cs="楷体_GB2312"/>
          <w:bCs/>
          <w:sz w:val="24"/>
          <w:szCs w:val="24"/>
        </w:rPr>
      </w:pPr>
      <w:r>
        <w:rPr>
          <w:rFonts w:hint="eastAsia" w:ascii="楷体_GB2312" w:hAnsi="楷体_GB2312" w:eastAsia="楷体_GB2312" w:cs="楷体_GB2312"/>
          <w:bCs/>
          <w:sz w:val="24"/>
          <w:szCs w:val="24"/>
        </w:rPr>
        <w:t xml:space="preserve">   </w:t>
      </w:r>
      <w:r>
        <w:rPr>
          <w:rFonts w:hint="eastAsia" w:ascii="楷体_GB2312" w:hAnsi="楷体_GB2312" w:eastAsia="楷体_GB2312" w:cs="楷体_GB2312"/>
          <w:bCs/>
          <w:sz w:val="24"/>
          <w:szCs w:val="24"/>
        </w:rPr>
        <w:tab/>
      </w:r>
      <w:r>
        <w:rPr>
          <w:rFonts w:hint="eastAsia" w:ascii="楷体_GB2312" w:hAnsi="楷体_GB2312" w:eastAsia="楷体_GB2312" w:cs="楷体_GB2312"/>
          <w:sz w:val="24"/>
          <w:szCs w:val="24"/>
        </w:rPr>
        <w:t>租金结算方式为人民币结算。</w:t>
      </w:r>
      <w:r>
        <w:rPr>
          <w:rFonts w:hint="eastAsia" w:ascii="楷体_GB2312" w:hAnsi="楷体_GB2312" w:eastAsia="楷体_GB2312" w:cs="楷体_GB2312"/>
          <w:bCs/>
          <w:sz w:val="24"/>
          <w:szCs w:val="24"/>
        </w:rPr>
        <w:t>租</w:t>
      </w:r>
      <w:r>
        <w:rPr>
          <w:rFonts w:hint="eastAsia" w:ascii="楷体_GB2312" w:hAnsi="楷体_GB2312" w:eastAsia="楷体_GB2312" w:cs="楷体_GB2312"/>
          <w:bCs/>
          <w:sz w:val="24"/>
          <w:szCs w:val="24"/>
          <w:lang w:val="en-US" w:eastAsia="zh-CN"/>
        </w:rPr>
        <w:t>金</w:t>
      </w:r>
      <w:r>
        <w:rPr>
          <w:rFonts w:hint="eastAsia" w:ascii="楷体_GB2312" w:hAnsi="楷体_GB2312" w:eastAsia="楷体_GB2312" w:cs="楷体_GB2312"/>
          <w:bCs/>
          <w:sz w:val="24"/>
          <w:szCs w:val="24"/>
        </w:rPr>
        <w:t>按月为一期收取，乙方在每期的前5日一次向甲方以下指定银行帐户甲方足额交纳当期的租金；乙方应以乙方名义缴交租金。甲方收款信息如下：</w:t>
      </w:r>
    </w:p>
    <w:p w14:paraId="7E56E6AF">
      <w:pPr>
        <w:keepNext w:val="0"/>
        <w:keepLines w:val="0"/>
        <w:pageBreakBefore w:val="0"/>
        <w:tabs>
          <w:tab w:val="left" w:pos="540"/>
          <w:tab w:val="left" w:pos="1080"/>
        </w:tabs>
        <w:kinsoku/>
        <w:wordWrap/>
        <w:overflowPunct/>
        <w:topLinePunct w:val="0"/>
        <w:autoSpaceDE/>
        <w:bidi w:val="0"/>
        <w:snapToGrid/>
        <w:spacing w:line="380" w:lineRule="exact"/>
        <w:ind w:firstLine="576"/>
        <w:rPr>
          <w:rFonts w:ascii="楷体_GB2312" w:hAnsi="楷体_GB2312" w:eastAsia="楷体_GB2312" w:cs="楷体_GB2312"/>
          <w:bCs/>
          <w:sz w:val="24"/>
          <w:szCs w:val="24"/>
        </w:rPr>
      </w:pPr>
      <w:r>
        <w:rPr>
          <w:rFonts w:hint="eastAsia" w:ascii="楷体_GB2312" w:hAnsi="楷体_GB2312" w:eastAsia="楷体_GB2312" w:cs="楷体_GB2312"/>
          <w:bCs/>
          <w:sz w:val="24"/>
          <w:szCs w:val="24"/>
        </w:rPr>
        <w:t>账户：</w:t>
      </w:r>
    </w:p>
    <w:p w14:paraId="4A7FCD5B">
      <w:pPr>
        <w:keepNext w:val="0"/>
        <w:keepLines w:val="0"/>
        <w:pageBreakBefore w:val="0"/>
        <w:tabs>
          <w:tab w:val="left" w:pos="540"/>
          <w:tab w:val="left" w:pos="1080"/>
        </w:tabs>
        <w:kinsoku/>
        <w:wordWrap/>
        <w:overflowPunct/>
        <w:topLinePunct w:val="0"/>
        <w:autoSpaceDE/>
        <w:bidi w:val="0"/>
        <w:snapToGrid/>
        <w:spacing w:line="380" w:lineRule="exact"/>
        <w:ind w:firstLine="576"/>
        <w:rPr>
          <w:rFonts w:hint="eastAsia" w:ascii="楷体_GB2312" w:hAnsi="楷体_GB2312" w:eastAsia="楷体_GB2312" w:cs="楷体_GB2312"/>
          <w:bCs/>
          <w:sz w:val="24"/>
          <w:szCs w:val="24"/>
        </w:rPr>
      </w:pPr>
    </w:p>
    <w:p w14:paraId="0F453C31">
      <w:pPr>
        <w:keepNext w:val="0"/>
        <w:keepLines w:val="0"/>
        <w:pageBreakBefore w:val="0"/>
        <w:tabs>
          <w:tab w:val="left" w:pos="540"/>
          <w:tab w:val="left" w:pos="1080"/>
        </w:tabs>
        <w:kinsoku/>
        <w:wordWrap/>
        <w:overflowPunct/>
        <w:topLinePunct w:val="0"/>
        <w:autoSpaceDE/>
        <w:bidi w:val="0"/>
        <w:snapToGrid/>
        <w:spacing w:line="380" w:lineRule="exact"/>
        <w:ind w:firstLine="576"/>
        <w:rPr>
          <w:rFonts w:ascii="楷体_GB2312" w:hAnsi="楷体_GB2312" w:eastAsia="楷体_GB2312" w:cs="楷体_GB2312"/>
          <w:bCs/>
          <w:sz w:val="24"/>
          <w:szCs w:val="24"/>
        </w:rPr>
      </w:pPr>
      <w:r>
        <w:rPr>
          <w:rFonts w:hint="eastAsia" w:ascii="楷体_GB2312" w:hAnsi="楷体_GB2312" w:eastAsia="楷体_GB2312" w:cs="楷体_GB2312"/>
          <w:bCs/>
          <w:sz w:val="24"/>
          <w:szCs w:val="24"/>
        </w:rPr>
        <w:t>开户行：</w:t>
      </w:r>
    </w:p>
    <w:p w14:paraId="790FBAC3">
      <w:pPr>
        <w:keepNext w:val="0"/>
        <w:keepLines w:val="0"/>
        <w:pageBreakBefore w:val="0"/>
        <w:tabs>
          <w:tab w:val="left" w:pos="540"/>
          <w:tab w:val="left" w:pos="1080"/>
        </w:tabs>
        <w:kinsoku/>
        <w:wordWrap/>
        <w:overflowPunct/>
        <w:topLinePunct w:val="0"/>
        <w:autoSpaceDE/>
        <w:bidi w:val="0"/>
        <w:snapToGrid/>
        <w:spacing w:line="380" w:lineRule="exact"/>
        <w:ind w:firstLine="576"/>
        <w:rPr>
          <w:rFonts w:hint="eastAsia" w:ascii="楷体_GB2312" w:hAnsi="楷体_GB2312" w:eastAsia="楷体_GB2312" w:cs="楷体_GB2312"/>
          <w:bCs/>
          <w:sz w:val="24"/>
          <w:szCs w:val="24"/>
        </w:rPr>
      </w:pPr>
      <w:r>
        <w:rPr>
          <w:rFonts w:hint="eastAsia" w:ascii="楷体_GB2312" w:hAnsi="楷体_GB2312" w:eastAsia="楷体_GB2312" w:cs="楷体_GB2312"/>
          <w:bCs/>
          <w:sz w:val="24"/>
          <w:szCs w:val="24"/>
        </w:rPr>
        <w:t>账号：</w:t>
      </w:r>
    </w:p>
    <w:p w14:paraId="13D7BD83">
      <w:pPr>
        <w:pStyle w:val="15"/>
        <w:keepNext w:val="0"/>
        <w:keepLines w:val="0"/>
        <w:pageBreakBefore w:val="0"/>
        <w:kinsoku/>
        <w:wordWrap/>
        <w:overflowPunct/>
        <w:topLinePunct w:val="0"/>
        <w:autoSpaceDE/>
        <w:bidi w:val="0"/>
        <w:snapToGrid/>
        <w:spacing w:line="380" w:lineRule="exact"/>
        <w:ind w:firstLine="561"/>
        <w:jc w:val="left"/>
        <w:rPr>
          <w:rFonts w:hint="eastAsia" w:ascii="楷体_GB2312" w:hAnsi="楷体_GB2312" w:eastAsia="楷体_GB2312"/>
          <w:sz w:val="24"/>
          <w:szCs w:val="24"/>
        </w:rPr>
      </w:pPr>
      <w:r>
        <w:rPr>
          <w:rFonts w:hint="eastAsia" w:ascii="楷体_GB2312" w:hAnsi="楷体_GB2312" w:eastAsia="楷体_GB2312" w:cs="楷体_GB2312"/>
          <w:sz w:val="24"/>
          <w:szCs w:val="24"/>
        </w:rPr>
        <w:t>（三）</w:t>
      </w:r>
      <w:r>
        <w:rPr>
          <w:rFonts w:hint="eastAsia" w:ascii="楷体_GB2312" w:hAnsi="楷体_GB2312" w:eastAsia="楷体_GB2312"/>
          <w:sz w:val="24"/>
          <w:szCs w:val="24"/>
        </w:rPr>
        <w:t>甲方不负责物业管理。如需物业管理的，由乙方自行与物业管理公司签订物业管理协议，并按时向物业管理公司交纳物业服务费及相关费用，在不违反本租赁合同约定条款下遵守物业管理公司规定，如因乙方违反物业管理公司规定而产生的一切责任和损失，与甲方无关，由乙方自行承担。</w:t>
      </w:r>
    </w:p>
    <w:p w14:paraId="193ED1D3">
      <w:pPr>
        <w:keepNext w:val="0"/>
        <w:keepLines w:val="0"/>
        <w:pageBreakBefore w:val="0"/>
        <w:tabs>
          <w:tab w:val="left" w:pos="540"/>
          <w:tab w:val="left" w:pos="1080"/>
        </w:tabs>
        <w:kinsoku/>
        <w:wordWrap/>
        <w:overflowPunct/>
        <w:topLinePunct w:val="0"/>
        <w:autoSpaceDE/>
        <w:bidi w:val="0"/>
        <w:snapToGrid/>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w:t>
      </w:r>
      <w:r>
        <w:rPr>
          <w:rFonts w:ascii="楷体_GB2312" w:hAnsi="楷体_GB2312" w:eastAsia="楷体_GB2312" w:cs="楷体_GB2312"/>
          <w:sz w:val="24"/>
          <w:szCs w:val="24"/>
        </w:rPr>
        <w:t xml:space="preserve"> </w:t>
      </w:r>
      <w:r>
        <w:rPr>
          <w:rFonts w:hint="eastAsia" w:ascii="楷体_GB2312" w:hAnsi="楷体_GB2312" w:eastAsia="楷体_GB2312" w:cs="楷体_GB2312"/>
          <w:sz w:val="24"/>
          <w:szCs w:val="24"/>
        </w:rPr>
        <w:t>(四) 乙方应缴的其它费用</w:t>
      </w:r>
    </w:p>
    <w:p w14:paraId="2741A584">
      <w:pPr>
        <w:keepNext w:val="0"/>
        <w:keepLines w:val="0"/>
        <w:pageBreakBefore w:val="0"/>
        <w:tabs>
          <w:tab w:val="left" w:pos="535"/>
        </w:tabs>
        <w:kinsoku/>
        <w:wordWrap/>
        <w:overflowPunct/>
        <w:topLinePunct w:val="0"/>
        <w:autoSpaceDE/>
        <w:bidi w:val="0"/>
        <w:snapToGrid/>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t>1、在本合同签订之日，乙方应一次性向甲方交纳首期租金（含税）</w:t>
      </w:r>
      <w:r>
        <w:rPr>
          <w:rFonts w:hint="default" w:ascii="Arial" w:hAnsi="Arial" w:eastAsia="楷体_GB2312" w:cs="Arial"/>
          <w:bCs/>
          <w:sz w:val="24"/>
          <w:szCs w:val="24"/>
        </w:rPr>
        <w:t>¥</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元正（大写：人民币</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元）、本合同签订前一天，乙方应一次性足额交纳履约保证金（含税）</w:t>
      </w:r>
      <w:r>
        <w:rPr>
          <w:rFonts w:hint="default" w:ascii="Arial" w:hAnsi="Arial" w:eastAsia="楷体_GB2312" w:cs="Arial"/>
          <w:bCs/>
          <w:sz w:val="24"/>
          <w:szCs w:val="24"/>
        </w:rPr>
        <w:t>¥</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u w:val="single"/>
          <w:lang w:val="en-US" w:eastAsia="zh-CN"/>
        </w:rPr>
        <w:t xml:space="preserve">  </w:t>
      </w:r>
      <w:r>
        <w:rPr>
          <w:rFonts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元正（大写：人民币</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元）。</w:t>
      </w:r>
    </w:p>
    <w:p w14:paraId="19CCA4C8">
      <w:pPr>
        <w:keepNext w:val="0"/>
        <w:keepLines w:val="0"/>
        <w:pageBreakBefore w:val="0"/>
        <w:tabs>
          <w:tab w:val="left" w:pos="678"/>
        </w:tabs>
        <w:kinsoku/>
        <w:wordWrap/>
        <w:overflowPunct/>
        <w:topLinePunct w:val="0"/>
        <w:autoSpaceDE/>
        <w:bidi w:val="0"/>
        <w:snapToGrid/>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w:t>
      </w:r>
      <w:r>
        <w:rPr>
          <w:rFonts w:hint="eastAsia" w:ascii="楷体_GB2312" w:hAnsi="楷体_GB2312" w:eastAsia="楷体_GB2312" w:cs="楷体_GB2312"/>
          <w:color w:val="0000FF"/>
          <w:sz w:val="24"/>
          <w:szCs w:val="24"/>
        </w:rPr>
        <w:t xml:space="preserve"> </w:t>
      </w:r>
      <w:r>
        <w:rPr>
          <w:rFonts w:hint="eastAsia" w:ascii="楷体_GB2312" w:hAnsi="楷体_GB2312" w:eastAsia="楷体_GB2312" w:cs="楷体_GB2312"/>
          <w:sz w:val="24"/>
          <w:szCs w:val="24"/>
        </w:rPr>
        <w:t>履约保证金用于为乙方全面妥善履行在本合同项下约定的义务提供担保，</w:t>
      </w:r>
      <w:r>
        <w:rPr>
          <w:rFonts w:hint="eastAsia" w:ascii="楷体_GB2312" w:hAnsi="楷体_GB2312" w:eastAsia="楷体_GB2312"/>
          <w:sz w:val="24"/>
          <w:szCs w:val="24"/>
        </w:rPr>
        <w:t>保证金不计利息，不抵作租金和其他各项费用。</w:t>
      </w:r>
      <w:r>
        <w:rPr>
          <w:rFonts w:hint="eastAsia" w:ascii="楷体_GB2312" w:hAnsi="楷体_GB2312" w:eastAsia="楷体_GB2312" w:cs="楷体_GB2312"/>
          <w:sz w:val="24"/>
          <w:szCs w:val="24"/>
        </w:rPr>
        <w:t>如乙方在合同履行过程中出现违约行为的，履约保证金予以没收，并追究乙方的违约责任；在合同期满后，在乙方无违约或欠费等行为、且乙方已注销营业执照或完成营业执照经营地址变更手续后（当乙方使用租赁物业所在地址作为经营地址时）的前提下，甲方可以在乙方交还物业后10天内将履约保证金无息退还给乙方；如乙方在交还物业及完成注销营业执照或变更营业执照经营地址后两个月内仍未向甲方申请退还履约保证金的，视为乙方放弃取回履约保证金的权利。</w:t>
      </w:r>
    </w:p>
    <w:p w14:paraId="66F03282">
      <w:pPr>
        <w:keepNext w:val="0"/>
        <w:keepLines w:val="0"/>
        <w:pageBreakBefore w:val="0"/>
        <w:tabs>
          <w:tab w:val="left" w:pos="540"/>
          <w:tab w:val="left" w:pos="1080"/>
        </w:tabs>
        <w:kinsoku/>
        <w:wordWrap/>
        <w:overflowPunct/>
        <w:topLinePunct w:val="0"/>
        <w:autoSpaceDE/>
        <w:bidi w:val="0"/>
        <w:snapToGrid/>
        <w:spacing w:line="380" w:lineRule="exact"/>
        <w:ind w:firstLine="480" w:firstLineChars="200"/>
        <w:rPr>
          <w:rFonts w:hint="eastAsia" w:ascii="楷体_GB2312" w:hAnsi="楷体_GB2312" w:eastAsia="楷体_GB2312" w:cs="楷体_GB2312"/>
          <w:bCs/>
          <w:sz w:val="24"/>
          <w:szCs w:val="24"/>
        </w:rPr>
      </w:pPr>
      <w:r>
        <w:rPr>
          <w:rFonts w:hint="eastAsia" w:ascii="楷体_GB2312" w:hAnsi="楷体_GB2312" w:eastAsia="楷体_GB2312" w:cs="楷体_GB2312"/>
          <w:bCs/>
          <w:sz w:val="24"/>
          <w:szCs w:val="24"/>
        </w:rPr>
        <w:t>2、租赁物业的水、电费用由乙方承担，甲乙双方按《&lt;天河区农村集体资产交易租赁合同&gt;补充协议——水电使用》执行。</w:t>
      </w:r>
    </w:p>
    <w:p w14:paraId="23084261">
      <w:pPr>
        <w:keepNext w:val="0"/>
        <w:keepLines w:val="0"/>
        <w:pageBreakBefore w:val="0"/>
        <w:tabs>
          <w:tab w:val="left" w:pos="540"/>
          <w:tab w:val="left" w:pos="1080"/>
        </w:tabs>
        <w:kinsoku/>
        <w:wordWrap/>
        <w:overflowPunct/>
        <w:topLinePunct w:val="0"/>
        <w:autoSpaceDE/>
        <w:bidi w:val="0"/>
        <w:snapToGrid/>
        <w:spacing w:line="380" w:lineRule="exact"/>
        <w:ind w:firstLine="480" w:firstLineChars="200"/>
        <w:rPr>
          <w:rFonts w:hint="eastAsia" w:ascii="楷体_GB2312" w:hAnsi="楷体_GB2312" w:eastAsia="楷体_GB2312" w:cs="楷体_GB2312"/>
          <w:bCs/>
          <w:sz w:val="24"/>
          <w:szCs w:val="24"/>
        </w:rPr>
      </w:pPr>
      <w:r>
        <w:rPr>
          <w:rFonts w:hint="eastAsia" w:ascii="楷体_GB2312" w:hAnsi="楷体_GB2312" w:eastAsia="楷体_GB2312" w:cs="楷体_GB2312"/>
          <w:bCs/>
          <w:sz w:val="24"/>
          <w:szCs w:val="24"/>
        </w:rPr>
        <w:t>3、除上述约定外，在租赁期内，乙方承担因使用租赁物业而产生的各项税、费（包括但不限于租赁登记税，印花税及水、电、电视、煤气、网络、通讯、卫生、消防、垃圾、电梯、治安、安全生产等费用）。</w:t>
      </w:r>
    </w:p>
    <w:p w14:paraId="1CDC5D11">
      <w:pPr>
        <w:keepNext w:val="0"/>
        <w:keepLines w:val="0"/>
        <w:pageBreakBefore w:val="0"/>
        <w:tabs>
          <w:tab w:val="left" w:pos="540"/>
          <w:tab w:val="left" w:pos="1080"/>
        </w:tabs>
        <w:kinsoku/>
        <w:wordWrap/>
        <w:overflowPunct/>
        <w:topLinePunct w:val="0"/>
        <w:autoSpaceDE/>
        <w:bidi w:val="0"/>
        <w:snapToGrid/>
        <w:spacing w:line="380" w:lineRule="exact"/>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第四条</w:t>
      </w:r>
      <w:r>
        <w:rPr>
          <w:rFonts w:hint="eastAsia" w:ascii="楷体_GB2312" w:hAnsi="楷体_GB2312" w:eastAsia="楷体_GB2312" w:cs="楷体_GB2312"/>
          <w:bCs/>
          <w:sz w:val="24"/>
          <w:szCs w:val="24"/>
        </w:rPr>
        <w:t xml:space="preserve">  </w:t>
      </w:r>
      <w:r>
        <w:rPr>
          <w:rFonts w:hint="eastAsia" w:ascii="楷体_GB2312" w:hAnsi="楷体_GB2312" w:eastAsia="楷体_GB2312" w:cs="楷体_GB2312"/>
          <w:b/>
          <w:bCs/>
          <w:sz w:val="24"/>
          <w:szCs w:val="24"/>
        </w:rPr>
        <w:t>甲方的权利义务</w:t>
      </w:r>
    </w:p>
    <w:p w14:paraId="2CC0B0D0">
      <w:pPr>
        <w:keepNext w:val="0"/>
        <w:keepLines w:val="0"/>
        <w:pageBreakBefore w:val="0"/>
        <w:tabs>
          <w:tab w:val="left" w:pos="540"/>
          <w:tab w:val="left" w:pos="1080"/>
        </w:tabs>
        <w:kinsoku/>
        <w:wordWrap/>
        <w:overflowPunct/>
        <w:topLinePunct w:val="0"/>
        <w:autoSpaceDE/>
        <w:bidi w:val="0"/>
        <w:snapToGrid/>
        <w:spacing w:line="380" w:lineRule="exact"/>
        <w:ind w:firstLine="570"/>
        <w:rPr>
          <w:rFonts w:hint="eastAsia" w:ascii="楷体_GB2312" w:hAnsi="楷体_GB2312" w:eastAsia="楷体_GB2312" w:cs="楷体_GB2312"/>
          <w:bCs/>
          <w:sz w:val="24"/>
          <w:szCs w:val="24"/>
        </w:rPr>
      </w:pPr>
      <w:r>
        <w:rPr>
          <w:rFonts w:hint="eastAsia" w:ascii="楷体_GB2312" w:hAnsi="楷体_GB2312" w:eastAsia="楷体_GB2312" w:cs="楷体_GB2312"/>
          <w:bCs/>
          <w:sz w:val="24"/>
          <w:szCs w:val="24"/>
        </w:rPr>
        <w:t>1、依合同约定将租赁物业及其附属设备设施交付乙方使用并有权按时向乙方收取租金等本合同约定由乙方应缴交的款项。</w:t>
      </w:r>
    </w:p>
    <w:p w14:paraId="562B8C8D">
      <w:pPr>
        <w:keepNext w:val="0"/>
        <w:keepLines w:val="0"/>
        <w:pageBreakBefore w:val="0"/>
        <w:tabs>
          <w:tab w:val="left" w:pos="540"/>
          <w:tab w:val="left" w:pos="1080"/>
        </w:tabs>
        <w:kinsoku/>
        <w:wordWrap/>
        <w:overflowPunct/>
        <w:topLinePunct w:val="0"/>
        <w:autoSpaceDE/>
        <w:bidi w:val="0"/>
        <w:snapToGrid/>
        <w:spacing w:line="380" w:lineRule="exact"/>
        <w:ind w:firstLine="570"/>
        <w:rPr>
          <w:rFonts w:hint="eastAsia" w:ascii="楷体_GB2312" w:hAnsi="楷体_GB2312" w:eastAsia="楷体_GB2312" w:cs="楷体_GB2312"/>
          <w:sz w:val="24"/>
          <w:szCs w:val="24"/>
        </w:rPr>
      </w:pPr>
      <w:r>
        <w:rPr>
          <w:rFonts w:hint="eastAsia" w:ascii="楷体_GB2312" w:hAnsi="楷体_GB2312" w:eastAsia="楷体_GB2312" w:cs="楷体_GB2312"/>
          <w:bCs/>
          <w:sz w:val="24"/>
          <w:szCs w:val="24"/>
        </w:rPr>
        <w:t>2、</w:t>
      </w:r>
      <w:r>
        <w:rPr>
          <w:rFonts w:hint="eastAsia" w:ascii="楷体_GB2312" w:hAnsi="楷体_GB2312" w:eastAsia="楷体_GB2312" w:cs="楷体_GB2312"/>
          <w:sz w:val="24"/>
          <w:szCs w:val="24"/>
        </w:rPr>
        <w:t>有权对物业进行定期安全检查（包括消防安全检查），并监督乙方对物业的使用情况。</w:t>
      </w:r>
    </w:p>
    <w:p w14:paraId="7747F58D">
      <w:pPr>
        <w:keepNext w:val="0"/>
        <w:keepLines w:val="0"/>
        <w:pageBreakBefore w:val="0"/>
        <w:tabs>
          <w:tab w:val="left" w:pos="540"/>
          <w:tab w:val="left" w:pos="1080"/>
        </w:tabs>
        <w:kinsoku/>
        <w:wordWrap/>
        <w:overflowPunct/>
        <w:topLinePunct w:val="0"/>
        <w:autoSpaceDE/>
        <w:bidi w:val="0"/>
        <w:snapToGrid/>
        <w:spacing w:line="380" w:lineRule="exact"/>
        <w:ind w:firstLine="570"/>
        <w:rPr>
          <w:rFonts w:hint="eastAsia" w:ascii="楷体_GB2312" w:hAnsi="楷体_GB2312" w:eastAsia="楷体_GB2312" w:cs="楷体_GB2312"/>
          <w:bCs/>
          <w:sz w:val="24"/>
          <w:szCs w:val="24"/>
        </w:rPr>
      </w:pPr>
      <w:r>
        <w:rPr>
          <w:rFonts w:hint="eastAsia" w:ascii="楷体_GB2312" w:hAnsi="楷体_GB2312" w:eastAsia="楷体_GB2312" w:cs="楷体_GB2312"/>
          <w:bCs/>
          <w:sz w:val="24"/>
          <w:szCs w:val="24"/>
        </w:rPr>
        <w:t>3、为乙方正常使用物业提供协助，并支持乙方的合法经营活动。</w:t>
      </w:r>
    </w:p>
    <w:p w14:paraId="2B8D5AA6">
      <w:pPr>
        <w:keepNext w:val="0"/>
        <w:keepLines w:val="0"/>
        <w:pageBreakBefore w:val="0"/>
        <w:tabs>
          <w:tab w:val="left" w:pos="540"/>
          <w:tab w:val="left" w:pos="1080"/>
        </w:tabs>
        <w:kinsoku/>
        <w:wordWrap/>
        <w:overflowPunct/>
        <w:topLinePunct w:val="0"/>
        <w:autoSpaceDE/>
        <w:bidi w:val="0"/>
        <w:snapToGrid/>
        <w:spacing w:line="380" w:lineRule="exact"/>
        <w:rPr>
          <w:rFonts w:hint="eastAsia" w:ascii="楷体_GB2312" w:hAnsi="楷体_GB2312" w:eastAsia="楷体_GB2312" w:cs="楷体_GB2312"/>
          <w:b/>
          <w:sz w:val="24"/>
          <w:szCs w:val="24"/>
        </w:rPr>
      </w:pPr>
      <w:r>
        <w:rPr>
          <w:rFonts w:hint="eastAsia" w:ascii="楷体_GB2312" w:hAnsi="楷体_GB2312" w:eastAsia="楷体_GB2312" w:cs="楷体_GB2312"/>
          <w:b/>
          <w:sz w:val="24"/>
          <w:szCs w:val="24"/>
        </w:rPr>
        <w:t>第五条 乙方的权利义务</w:t>
      </w:r>
    </w:p>
    <w:p w14:paraId="461F70E4">
      <w:pPr>
        <w:keepNext w:val="0"/>
        <w:keepLines w:val="0"/>
        <w:pageBreakBefore w:val="0"/>
        <w:kinsoku/>
        <w:wordWrap/>
        <w:overflowPunct/>
        <w:topLinePunct w:val="0"/>
        <w:autoSpaceDE/>
        <w:bidi w:val="0"/>
        <w:snapToGrid/>
        <w:spacing w:line="380" w:lineRule="exact"/>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（一）依约按时交纳租金、履约保证金等本合同约定由乙方缴交的款项。</w:t>
      </w:r>
    </w:p>
    <w:p w14:paraId="3ACDA704">
      <w:pPr>
        <w:keepNext w:val="0"/>
        <w:keepLines w:val="0"/>
        <w:pageBreakBefore w:val="0"/>
        <w:kinsoku/>
        <w:wordWrap/>
        <w:overflowPunct/>
        <w:topLinePunct w:val="0"/>
        <w:autoSpaceDE/>
        <w:bidi w:val="0"/>
        <w:snapToGrid/>
        <w:spacing w:line="380" w:lineRule="exact"/>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（二）按本合同约定用途合理使用租赁物业。乙方自行办理因利用租赁物业从事经营活动所需的各种证照，享有独立使用权并自行承担一切使用风险。</w:t>
      </w:r>
    </w:p>
    <w:p w14:paraId="489216F4">
      <w:pPr>
        <w:pStyle w:val="3"/>
        <w:keepNext w:val="0"/>
        <w:keepLines w:val="0"/>
        <w:pageBreakBefore w:val="0"/>
        <w:kinsoku/>
        <w:wordWrap/>
        <w:overflowPunct/>
        <w:topLinePunct w:val="0"/>
        <w:autoSpaceDE/>
        <w:bidi w:val="0"/>
        <w:snapToGrid/>
        <w:spacing w:line="380" w:lineRule="exact"/>
        <w:ind w:firstLine="480" w:firstLineChars="200"/>
        <w:rPr>
          <w:rFonts w:ascii="楷体" w:hAnsi="楷体" w:eastAsia="楷体" w:cs="楷体_GB2312"/>
          <w:sz w:val="24"/>
          <w:szCs w:val="24"/>
        </w:rPr>
      </w:pPr>
      <w:r>
        <w:rPr>
          <w:rFonts w:hint="eastAsia" w:ascii="楷体" w:hAnsi="楷体" w:eastAsia="楷体" w:cs="楷体_GB2312"/>
          <w:sz w:val="24"/>
          <w:szCs w:val="24"/>
        </w:rPr>
        <w:t>（三）乙方在签订本合同时，乙方已经完全了解租赁物业的性质、用途和具体情况，</w:t>
      </w:r>
      <w:r>
        <w:rPr>
          <w:rFonts w:hint="eastAsia" w:ascii="楷体" w:hAnsi="楷体" w:eastAsia="楷体"/>
          <w:sz w:val="24"/>
          <w:szCs w:val="24"/>
        </w:rPr>
        <w:t>甲方不承诺也不保证该物业及其配套设施（包括但不限于水电、消防、电梯等）能符合乙方的具体使用功能和包括但不限于环保、消防、安全等规范。</w:t>
      </w:r>
      <w:r>
        <w:rPr>
          <w:rFonts w:hint="eastAsia" w:ascii="楷体" w:hAnsi="楷体" w:eastAsia="楷体" w:cs="楷体_GB2312"/>
          <w:sz w:val="24"/>
          <w:szCs w:val="24"/>
        </w:rPr>
        <w:t xml:space="preserve"> 如因租赁物业的资料不足而影响乙方使用的（包括但不限于办理工商证照、消防证照、营业手续、</w:t>
      </w:r>
      <w:r>
        <w:rPr>
          <w:rFonts w:hint="eastAsia" w:ascii="楷体_GB2312" w:hAnsi="楷体_GB2312" w:eastAsia="楷体_GB2312" w:cs="楷体_GB2312"/>
          <w:sz w:val="24"/>
          <w:szCs w:val="24"/>
        </w:rPr>
        <w:t>排烟、排气、排污、垃圾分类、食品安全</w:t>
      </w:r>
      <w:r>
        <w:rPr>
          <w:rFonts w:hint="eastAsia" w:ascii="楷体" w:hAnsi="楷体" w:eastAsia="楷体" w:cs="楷体_GB2312"/>
          <w:sz w:val="24"/>
          <w:szCs w:val="24"/>
        </w:rPr>
        <w:t>等），并不视为甲方违约或导致本合同无效，乙方仍应履行本合同之约定，因此产生的一切风险和损失由乙方自行承担，与甲方无关，乙方不得以此为由拖欠租金或申请减免租金，否则视为违约。</w:t>
      </w:r>
    </w:p>
    <w:p w14:paraId="376BFEF2">
      <w:pPr>
        <w:pStyle w:val="3"/>
        <w:keepNext w:val="0"/>
        <w:keepLines w:val="0"/>
        <w:pageBreakBefore w:val="0"/>
        <w:kinsoku/>
        <w:wordWrap/>
        <w:overflowPunct/>
        <w:topLinePunct w:val="0"/>
        <w:autoSpaceDE/>
        <w:bidi w:val="0"/>
        <w:snapToGrid/>
        <w:spacing w:line="380" w:lineRule="exact"/>
        <w:ind w:firstLine="480" w:firstLineChars="200"/>
        <w:rPr>
          <w:rFonts w:ascii="楷体_GB2312" w:hAnsi="楷体_GB2312" w:eastAsia="楷体_GB2312" w:cs="楷体_GB2312"/>
          <w:sz w:val="24"/>
          <w:szCs w:val="24"/>
        </w:rPr>
      </w:pPr>
      <w:r>
        <w:rPr>
          <w:rFonts w:hint="eastAsia" w:ascii="楷体_GB2312" w:hAnsi="楷体_GB2312" w:eastAsia="楷体_GB2312" w:cs="楷体_GB2312"/>
          <w:sz w:val="24"/>
          <w:szCs w:val="24"/>
        </w:rPr>
        <w:t>（四）如遇政府部门要求拆除租赁物业产权以外或红线范围外的搭、加建、临建部分，乙方承诺无条件拆除和配合并负责因此产生的费用及自行承担因此造成的损失，并不视为甲方违约，甲方无须向乙方支付任何补偿或赔偿；同时，乙方保证按照本合同约定的租金标准每月足额向甲方交纳租金，否则，甲方有权按本合同约定追究乙方违约责任。</w:t>
      </w:r>
    </w:p>
    <w:p w14:paraId="5825F823">
      <w:pPr>
        <w:keepNext w:val="0"/>
        <w:keepLines w:val="0"/>
        <w:pageBreakBefore w:val="0"/>
        <w:tabs>
          <w:tab w:val="left" w:pos="535"/>
        </w:tabs>
        <w:kinsoku/>
        <w:wordWrap/>
        <w:overflowPunct/>
        <w:topLinePunct w:val="0"/>
        <w:autoSpaceDE/>
        <w:bidi w:val="0"/>
        <w:snapToGrid/>
        <w:spacing w:line="380" w:lineRule="exact"/>
        <w:ind w:firstLine="48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（五）乙方应严格执行双方签订的《石牌市场管理规定》</w:t>
      </w:r>
      <w:r>
        <w:rPr>
          <w:rFonts w:hint="eastAsia" w:ascii="楷体_GB2312" w:hAnsi="楷体_GB2312" w:eastAsia="楷体_GB2312" w:cs="楷体_GB2312"/>
          <w:sz w:val="24"/>
          <w:szCs w:val="24"/>
          <w:lang w:val="en-US" w:eastAsia="zh-CN"/>
        </w:rPr>
        <w:t>及市场管理协议</w:t>
      </w:r>
      <w:r>
        <w:rPr>
          <w:rFonts w:hint="eastAsia" w:ascii="楷体_GB2312" w:hAnsi="楷体_GB2312" w:eastAsia="楷体_GB2312" w:cs="楷体_GB2312"/>
          <w:sz w:val="24"/>
          <w:szCs w:val="24"/>
        </w:rPr>
        <w:t>，如违反规定达三次的，视为乙方违约，甲方有权解除本合同并收回物业，履约保证金不予以退还。</w:t>
      </w:r>
    </w:p>
    <w:p w14:paraId="1C1F08AA">
      <w:pPr>
        <w:keepNext w:val="0"/>
        <w:keepLines w:val="0"/>
        <w:pageBreakBefore w:val="0"/>
        <w:tabs>
          <w:tab w:val="left" w:pos="535"/>
        </w:tabs>
        <w:kinsoku/>
        <w:wordWrap/>
        <w:overflowPunct/>
        <w:topLinePunct w:val="0"/>
        <w:autoSpaceDE/>
        <w:bidi w:val="0"/>
        <w:snapToGrid/>
        <w:spacing w:line="380" w:lineRule="exact"/>
        <w:ind w:firstLine="48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（六）乙方档铺前不得乱摆乱卖，如因乙方乱摆乱卖导致第三方人身受损的，因此产生的一切经济法律责任由乙方自行承担。</w:t>
      </w:r>
    </w:p>
    <w:p w14:paraId="15FC95DC">
      <w:pPr>
        <w:keepNext w:val="0"/>
        <w:keepLines w:val="0"/>
        <w:pageBreakBefore w:val="0"/>
        <w:tabs>
          <w:tab w:val="left" w:pos="535"/>
        </w:tabs>
        <w:kinsoku/>
        <w:wordWrap/>
        <w:overflowPunct/>
        <w:topLinePunct w:val="0"/>
        <w:autoSpaceDE/>
        <w:bidi w:val="0"/>
        <w:snapToGrid/>
        <w:spacing w:line="380" w:lineRule="exact"/>
        <w:ind w:firstLine="480"/>
        <w:rPr>
          <w:rFonts w:ascii="楷体_GB2312" w:hAnsi="楷体_GB2312" w:eastAsia="楷体_GB2312" w:cs="楷体_GB2312"/>
          <w:sz w:val="24"/>
          <w:szCs w:val="24"/>
        </w:rPr>
      </w:pPr>
      <w:r>
        <w:rPr>
          <w:rFonts w:hint="eastAsia" w:ascii="楷体_GB2312" w:hAnsi="楷体_GB2312" w:eastAsia="楷体_GB2312" w:cs="楷体_GB2312"/>
          <w:sz w:val="24"/>
          <w:szCs w:val="24"/>
        </w:rPr>
        <w:t>（七）乙方必须守法经营，单次停业时间不得超过10天，全年累计不得超过20天，否则视为乙方违约，甲方有权解除本合同并收回物业，履约保证金不予以退还。</w:t>
      </w:r>
    </w:p>
    <w:p w14:paraId="5A4D1E27">
      <w:pPr>
        <w:keepNext w:val="0"/>
        <w:keepLines w:val="0"/>
        <w:pageBreakBefore w:val="0"/>
        <w:tabs>
          <w:tab w:val="left" w:pos="535"/>
        </w:tabs>
        <w:kinsoku/>
        <w:wordWrap/>
        <w:overflowPunct/>
        <w:topLinePunct w:val="0"/>
        <w:autoSpaceDE/>
        <w:bidi w:val="0"/>
        <w:snapToGrid/>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八）租赁期内，未取得甲方书面同意的，乙方不得将租赁权整体转让或将租赁物业整体转租或分租（包括但不限于名为入股、合伙、联营、转包、调换、转借、合作使用等实为变相转租或分租的方式）。乙方名称变更的，乙方应及时书面通知甲方并与甲方协商，否则视为乙方擅自对租赁物业进行了转租或分租，甲方有权追究乙方相应的违约责任。</w:t>
      </w:r>
    </w:p>
    <w:p w14:paraId="684E9BCA">
      <w:pPr>
        <w:keepNext w:val="0"/>
        <w:keepLines w:val="0"/>
        <w:pageBreakBefore w:val="0"/>
        <w:tabs>
          <w:tab w:val="left" w:pos="535"/>
        </w:tabs>
        <w:kinsoku/>
        <w:wordWrap/>
        <w:overflowPunct/>
        <w:topLinePunct w:val="0"/>
        <w:autoSpaceDE/>
        <w:bidi w:val="0"/>
        <w:snapToGrid/>
        <w:spacing w:line="380" w:lineRule="exact"/>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如乙方确需对租赁物业进行部分转租或分租的，应经过甲乙双方和次承租人三方确认后方可进行。乙方须保证次承租人及其使用租赁物业的合法性，并承担因次承租人原因而产生的损害赔偿等一切经济、法律责任。乙方订立的转租或分租合同应符合以下规定：</w:t>
      </w:r>
    </w:p>
    <w:p w14:paraId="6DBC54F4">
      <w:pPr>
        <w:keepNext w:val="0"/>
        <w:keepLines w:val="0"/>
        <w:pageBreakBefore w:val="0"/>
        <w:tabs>
          <w:tab w:val="left" w:pos="400"/>
        </w:tabs>
        <w:kinsoku/>
        <w:wordWrap/>
        <w:overflowPunct/>
        <w:topLinePunct w:val="0"/>
        <w:autoSpaceDE/>
        <w:bidi w:val="0"/>
        <w:snapToGrid/>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t>1、转租或分租合同的终止日期不得超过本合同规定的终止日期；</w:t>
      </w:r>
    </w:p>
    <w:p w14:paraId="7F6D0CEC">
      <w:pPr>
        <w:keepNext w:val="0"/>
        <w:keepLines w:val="0"/>
        <w:pageBreakBefore w:val="0"/>
        <w:tabs>
          <w:tab w:val="left" w:pos="400"/>
        </w:tabs>
        <w:kinsoku/>
        <w:wordWrap/>
        <w:overflowPunct/>
        <w:topLinePunct w:val="0"/>
        <w:autoSpaceDE/>
        <w:bidi w:val="0"/>
        <w:snapToGrid/>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t>2、转租或分租期间，乙方除可享有并承担转租或分租合同规定的权利和义务外，还应继续履行本合同规定的义务；</w:t>
      </w:r>
    </w:p>
    <w:p w14:paraId="4EC8901A">
      <w:pPr>
        <w:keepNext w:val="0"/>
        <w:keepLines w:val="0"/>
        <w:pageBreakBefore w:val="0"/>
        <w:tabs>
          <w:tab w:val="left" w:pos="400"/>
        </w:tabs>
        <w:kinsoku/>
        <w:wordWrap/>
        <w:overflowPunct/>
        <w:topLinePunct w:val="0"/>
        <w:autoSpaceDE/>
        <w:bidi w:val="0"/>
        <w:snapToGrid/>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t xml:space="preserve">3、转租或分租期间，本合同发生变更、解除或终止时，转租或分租合同也应随之相应变更、解除或终止。 </w:t>
      </w:r>
    </w:p>
    <w:p w14:paraId="7A3CD25C">
      <w:pPr>
        <w:keepNext w:val="0"/>
        <w:keepLines w:val="0"/>
        <w:pageBreakBefore w:val="0"/>
        <w:kinsoku/>
        <w:wordWrap/>
        <w:overflowPunct/>
        <w:topLinePunct w:val="0"/>
        <w:autoSpaceDE/>
        <w:bidi w:val="0"/>
        <w:snapToGrid/>
        <w:spacing w:line="380" w:lineRule="exact"/>
        <w:ind w:right="560" w:firstLine="480" w:firstLineChars="200"/>
        <w:jc w:val="left"/>
        <w:rPr>
          <w:rFonts w:ascii="楷体" w:hAnsi="楷体" w:eastAsia="楷体" w:cs="楷体_GB2312"/>
          <w:sz w:val="24"/>
          <w:szCs w:val="24"/>
        </w:rPr>
      </w:pPr>
      <w:r>
        <w:rPr>
          <w:rFonts w:hint="eastAsia" w:ascii="楷体_GB2312" w:hAnsi="楷体_GB2312" w:eastAsia="楷体_GB2312" w:cs="楷体_GB2312"/>
          <w:sz w:val="24"/>
          <w:szCs w:val="24"/>
        </w:rPr>
        <w:t>4、</w:t>
      </w:r>
      <w:r>
        <w:rPr>
          <w:rFonts w:hint="eastAsia" w:ascii="楷体" w:hAnsi="楷体" w:eastAsia="楷体" w:cs="楷体_GB2312"/>
          <w:sz w:val="24"/>
          <w:szCs w:val="24"/>
        </w:rPr>
        <w:t>转租期间，次承租人使用物业的用途不得超过我单位与承租人之间租赁合同约定的物业使用用途；且次承租人不得将租赁物业再次对外转租。</w:t>
      </w:r>
    </w:p>
    <w:p w14:paraId="31357BD3">
      <w:pPr>
        <w:pStyle w:val="3"/>
        <w:keepNext w:val="0"/>
        <w:keepLines w:val="0"/>
        <w:pageBreakBefore w:val="0"/>
        <w:kinsoku/>
        <w:wordWrap/>
        <w:overflowPunct/>
        <w:topLinePunct w:val="0"/>
        <w:autoSpaceDE/>
        <w:bidi w:val="0"/>
        <w:snapToGrid/>
        <w:spacing w:line="380" w:lineRule="exact"/>
        <w:ind w:firstLine="480" w:firstLineChars="200"/>
        <w:rPr>
          <w:rFonts w:hint="eastAsia" w:ascii="楷体" w:hAnsi="楷体" w:eastAsia="楷体"/>
          <w:sz w:val="24"/>
          <w:szCs w:val="24"/>
        </w:rPr>
      </w:pPr>
      <w:r>
        <w:rPr>
          <w:rFonts w:hint="eastAsia" w:ascii="楷体" w:hAnsi="楷体" w:eastAsia="楷体"/>
          <w:sz w:val="24"/>
          <w:szCs w:val="24"/>
        </w:rPr>
        <w:t>乙方因</w:t>
      </w:r>
      <w:r>
        <w:rPr>
          <w:rFonts w:hint="eastAsia" w:ascii="楷体_GB2312" w:hAnsi="楷体_GB2312" w:eastAsia="楷体_GB2312" w:cs="楷体_GB2312"/>
          <w:sz w:val="24"/>
          <w:szCs w:val="24"/>
        </w:rPr>
        <w:t>转租或分租</w:t>
      </w:r>
      <w:r>
        <w:rPr>
          <w:rFonts w:hint="eastAsia" w:ascii="楷体" w:hAnsi="楷体" w:eastAsia="楷体"/>
          <w:sz w:val="24"/>
          <w:szCs w:val="24"/>
        </w:rPr>
        <w:t>行为所产生的一切费用均由乙方负责，与甲方无关，且乙方与次承租人之间的任何纠纷亦均与甲方无关，若甲方因此遭受到损失的，概由乙方承担。</w:t>
      </w:r>
    </w:p>
    <w:p w14:paraId="472E27BB">
      <w:pPr>
        <w:keepNext w:val="0"/>
        <w:keepLines w:val="0"/>
        <w:pageBreakBefore w:val="0"/>
        <w:tabs>
          <w:tab w:val="left" w:pos="400"/>
        </w:tabs>
        <w:kinsoku/>
        <w:wordWrap/>
        <w:overflowPunct/>
        <w:topLinePunct w:val="0"/>
        <w:autoSpaceDE/>
        <w:bidi w:val="0"/>
        <w:snapToGrid/>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（九）装修</w:t>
      </w:r>
    </w:p>
    <w:p w14:paraId="6BA2FAB8">
      <w:pPr>
        <w:keepNext w:val="0"/>
        <w:keepLines w:val="0"/>
        <w:pageBreakBefore w:val="0"/>
        <w:tabs>
          <w:tab w:val="left" w:pos="400"/>
        </w:tabs>
        <w:kinsoku/>
        <w:wordWrap/>
        <w:overflowPunct/>
        <w:topLinePunct w:val="0"/>
        <w:autoSpaceDE/>
        <w:bidi w:val="0"/>
        <w:snapToGrid/>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1、在不破坏租赁物业主体结构、外立面，不影响主要设备设施安全运行的前提下，乙方在征得甲方书面同意并取得政府部门批准同意的文件后，可以对租赁物业进行内部装修；乙方并须承担因装修而办理的报建、验收等手续和所涉一切费用(包括但不限于拆卸、改动及因改动而发生的复建、复原等)。如乙方未征得甲方书面同意并取得政府部门（物业管理公司）批准同意的文件而擅自装修的，因此产生的一切后果和损失由乙方自负。</w:t>
      </w:r>
    </w:p>
    <w:p w14:paraId="6704546C">
      <w:pPr>
        <w:keepNext w:val="0"/>
        <w:keepLines w:val="0"/>
        <w:pageBreakBefore w:val="0"/>
        <w:tabs>
          <w:tab w:val="left" w:pos="400"/>
        </w:tabs>
        <w:kinsoku/>
        <w:wordWrap/>
        <w:overflowPunct/>
        <w:topLinePunct w:val="0"/>
        <w:autoSpaceDE/>
        <w:bidi w:val="0"/>
        <w:snapToGrid/>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2、租赁期内，乙方不得对租赁物业主体结构进行扩、加、改建（含改变间隔）、拆、搭建建（构）筑物、开（堵）外墙门窗等影响租赁物业结构安全和正常使用的行为。乙方如按实际情况确实需要的，应在取得甲方书面同意及获得政府部门的批准同意文件后方可进行，乙方应保证其行为不影响租赁物业整个结构安全及邻近住户的正常生活，乙方负责因此而涉及的一切手续和费用，甲方有权对工程进行监督。如乙方未取得甲方书面同意及获得政府部门的批准同意文件而擅自建设的，因此产生的一切后果和损失由乙方自负。</w:t>
      </w:r>
    </w:p>
    <w:p w14:paraId="0DE81998">
      <w:pPr>
        <w:keepNext w:val="0"/>
        <w:keepLines w:val="0"/>
        <w:pageBreakBefore w:val="0"/>
        <w:tabs>
          <w:tab w:val="left" w:pos="672"/>
        </w:tabs>
        <w:kinsoku/>
        <w:wordWrap/>
        <w:overflowPunct/>
        <w:topLinePunct w:val="0"/>
        <w:autoSpaceDE/>
        <w:bidi w:val="0"/>
        <w:snapToGrid/>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3、乙方应保证装修期间的安全生产以及人身、财产安全，否则因此产生的一切经济法律责任由乙方承担；甲方有权对该装修工程的施工进行监督。</w:t>
      </w:r>
    </w:p>
    <w:p w14:paraId="37B37F67">
      <w:pPr>
        <w:keepNext w:val="0"/>
        <w:keepLines w:val="0"/>
        <w:pageBreakBefore w:val="0"/>
        <w:numPr>
          <w:ilvl w:val="0"/>
          <w:numId w:val="7"/>
        </w:numPr>
        <w:tabs>
          <w:tab w:val="left" w:pos="580"/>
        </w:tabs>
        <w:kinsoku/>
        <w:wordWrap/>
        <w:overflowPunct/>
        <w:topLinePunct w:val="0"/>
        <w:autoSpaceDE/>
        <w:bidi w:val="0"/>
        <w:snapToGrid/>
        <w:spacing w:line="380" w:lineRule="exact"/>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乙方同意，乙方对租赁物业的一切投资（包括但不限于装修，增建、扩建、改建、搭建的部分，水电设施，消防系统设备，特种设备以及租赁物业内一切镶嵌在墙体内或不可拆除的装修、设备设施等）无偿归甲方所有，乙方同意甲方无须补偿或赔偿。如在租赁期间，乙方擅自将上述投资部分拆除的，应按当月租金总额的3倍向甲方支付赔偿金。</w:t>
      </w:r>
    </w:p>
    <w:p w14:paraId="0046B731">
      <w:pPr>
        <w:keepNext w:val="0"/>
        <w:keepLines w:val="0"/>
        <w:pageBreakBefore w:val="0"/>
        <w:tabs>
          <w:tab w:val="left" w:pos="580"/>
        </w:tabs>
        <w:kinsoku/>
        <w:wordWrap/>
        <w:overflowPunct/>
        <w:topLinePunct w:val="0"/>
        <w:autoSpaceDE/>
        <w:bidi w:val="0"/>
        <w:snapToGrid/>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w:t>
      </w: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t>（十）在租赁期间，乙方为租赁物业的消防安全责任人和安全生产责任人，对租赁物业的安全生产、消防安全负责，并对租赁物业建筑结构及其附属设施使用安全负责，杜绝消防安全隐患。乙方应接受甲方的监督检查纠正工作，并按甲方要求整改。如发生消防安全事故的，一切法律和经济责任由乙方承担。</w:t>
      </w:r>
    </w:p>
    <w:p w14:paraId="18A409F3">
      <w:pPr>
        <w:keepNext w:val="0"/>
        <w:keepLines w:val="0"/>
        <w:pageBreakBefore w:val="0"/>
        <w:tabs>
          <w:tab w:val="left" w:pos="672"/>
        </w:tabs>
        <w:kinsoku/>
        <w:wordWrap/>
        <w:overflowPunct/>
        <w:topLinePunct w:val="0"/>
        <w:autoSpaceDE/>
        <w:bidi w:val="0"/>
        <w:snapToGrid/>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在遇到火灾等紧急事态时，甲方或其授权代表可以在不通知乙方的情况下进入租赁物业，且甲方不需赔偿因此进入租赁物业而给乙方造成的任何损失。</w:t>
      </w:r>
    </w:p>
    <w:p w14:paraId="4776BEB9">
      <w:pPr>
        <w:keepNext w:val="0"/>
        <w:keepLines w:val="0"/>
        <w:pageBreakBefore w:val="0"/>
        <w:tabs>
          <w:tab w:val="left" w:pos="535"/>
        </w:tabs>
        <w:kinsoku/>
        <w:wordWrap/>
        <w:overflowPunct/>
        <w:topLinePunct w:val="0"/>
        <w:autoSpaceDE/>
        <w:bidi w:val="0"/>
        <w:snapToGrid/>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十一）乙方应爱护并合理使用租赁物业及其设备，不得擅自拆改、改装设备设施。乙方承担租赁物业范围内所有配套设施之修缮、维修和保养责任（包括但不限于租赁物业外立面，租赁物业内部的所有设备、设施如通用排气系统、供电、监控系统设施、给排水、排污、消防系统、监控设备、水电设备、特种设备、线缆和管道的日常维修及保养）。乙方保证这些设施符合国家规定的安全使用标准，并确保其处于正常租用、安全、完整、整洁的使用状态。</w:t>
      </w:r>
    </w:p>
    <w:p w14:paraId="595D4F73">
      <w:pPr>
        <w:keepNext w:val="0"/>
        <w:keepLines w:val="0"/>
        <w:pageBreakBefore w:val="0"/>
        <w:tabs>
          <w:tab w:val="left" w:pos="535"/>
        </w:tabs>
        <w:kinsoku/>
        <w:wordWrap/>
        <w:overflowPunct/>
        <w:topLinePunct w:val="0"/>
        <w:autoSpaceDE/>
        <w:bidi w:val="0"/>
        <w:snapToGrid/>
        <w:spacing w:line="380" w:lineRule="exact"/>
        <w:rPr>
          <w:rFonts w:hint="eastAsia" w:ascii="楷体_GB2312" w:hAnsi="楷体_GB2312" w:eastAsia="楷体_GB2312" w:cs="楷体_GB2312"/>
          <w:i/>
          <w:sz w:val="24"/>
          <w:szCs w:val="24"/>
        </w:rPr>
      </w:pPr>
      <w:r>
        <w:rPr>
          <w:rFonts w:hint="eastAsia" w:ascii="楷体_GB2312" w:hAnsi="楷体_GB2312" w:eastAsia="楷体_GB2312" w:cs="楷体_GB2312"/>
          <w:sz w:val="24"/>
          <w:szCs w:val="24"/>
        </w:rPr>
        <w:t xml:space="preserve">     租赁物业及其内部设施出现自然损坏或发生故障，乙方应负责及时维修或修缮，乙方拒不维修或修缮的，由甲方代为维修或修缮，由此而发生的维修或修缮费用由乙方承担。因乙方未及时维修或修缮而造成甲方、第三方损失的，乙方应负赔偿责任。</w:t>
      </w:r>
      <w:r>
        <w:rPr>
          <w:rFonts w:hint="eastAsia" w:ascii="楷体_GB2312" w:hAnsi="楷体_GB2312" w:eastAsia="楷体_GB2312" w:cs="楷体_GB2312"/>
          <w:i/>
          <w:sz w:val="24"/>
          <w:szCs w:val="24"/>
        </w:rPr>
        <w:t xml:space="preserve"> </w:t>
      </w:r>
    </w:p>
    <w:p w14:paraId="355576EE">
      <w:pPr>
        <w:keepNext w:val="0"/>
        <w:keepLines w:val="0"/>
        <w:pageBreakBefore w:val="0"/>
        <w:tabs>
          <w:tab w:val="left" w:pos="672"/>
        </w:tabs>
        <w:kinsoku/>
        <w:wordWrap/>
        <w:overflowPunct/>
        <w:topLinePunct w:val="0"/>
        <w:autoSpaceDE/>
        <w:bidi w:val="0"/>
        <w:snapToGrid/>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t>（十二）租赁期内，如乙方使用租赁物业所在地作为经营地址的，在租赁合同期满、合同终止或合同解除时，乙方应在甲方指定时间内注销营业执照或完成营业执照经营地址的变更手续，否则视为乙方违约，甲方有权不退还履约保证金。</w:t>
      </w:r>
    </w:p>
    <w:p w14:paraId="7776C193">
      <w:pPr>
        <w:keepNext w:val="0"/>
        <w:keepLines w:val="0"/>
        <w:pageBreakBefore w:val="0"/>
        <w:tabs>
          <w:tab w:val="left" w:pos="672"/>
        </w:tabs>
        <w:kinsoku/>
        <w:wordWrap/>
        <w:overflowPunct/>
        <w:topLinePunct w:val="0"/>
        <w:autoSpaceDE/>
        <w:bidi w:val="0"/>
        <w:snapToGrid/>
        <w:spacing w:line="380" w:lineRule="exact"/>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（十三）租赁期内，乙方自行承担租赁物业相应的卫生、治安、财产保管责任，如发生财产损失、人身伤亡等事故的，由乙方自行承担一切经济、法律责任。</w:t>
      </w:r>
    </w:p>
    <w:p w14:paraId="0AD36F23">
      <w:pPr>
        <w:keepNext w:val="0"/>
        <w:keepLines w:val="0"/>
        <w:pageBreakBefore w:val="0"/>
        <w:tabs>
          <w:tab w:val="left" w:pos="535"/>
        </w:tabs>
        <w:kinsoku/>
        <w:wordWrap/>
        <w:overflowPunct/>
        <w:topLinePunct w:val="0"/>
        <w:autoSpaceDE/>
        <w:bidi w:val="0"/>
        <w:snapToGrid/>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t>（十四）在租赁期间，乙方不得做出违法或对甲方名誉有不良影响的行为；不得在租赁物业内生产、经营活家禽、假冒、伪劣产品及饮食业（如麻辣烫、烧烤、熟食）、生鲜超市、物流行业、电器翻新、涉黄涉暴行业、无证照诊所、废旧品回收、屠宰场、金属加工、工场等；不得在租赁物业内饲养任何动物、宠物；不得利用租赁物业非法生产、加工、储存、经营酸碱等强腐蚀性物品及易燃易爆剧毒等危险物品。在任何时候，乙方须保证所经营的产品或商品没有侵犯任何第三人有关商标或专利的权利。否则，如乙方因上述行为而被有关部门处罚、责令整改或触犯法律的，乙方愿意承担一切经济、法律责任；如造成甲方损失的，乙方应予赔偿。</w:t>
      </w:r>
    </w:p>
    <w:p w14:paraId="5AD638E3">
      <w:pPr>
        <w:keepNext w:val="0"/>
        <w:keepLines w:val="0"/>
        <w:pageBreakBefore w:val="0"/>
        <w:tabs>
          <w:tab w:val="left" w:pos="672"/>
        </w:tabs>
        <w:kinsoku/>
        <w:wordWrap/>
        <w:overflowPunct/>
        <w:topLinePunct w:val="0"/>
        <w:autoSpaceDE/>
        <w:bidi w:val="0"/>
        <w:snapToGrid/>
        <w:spacing w:line="380" w:lineRule="exact"/>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十五）乙方在租赁物业或其附属物上设置、悬挂招牌、广告牌（户外广告除外）、宣传牌、供电、通讯等悬挂物、支立物的，须经甲方书面同意。如设置、悬挂物品（如户外广告）的，乙方还必须取得政府有关部门的批准文件。如乙方擅自设置、悬挂悬挂物、支立物的，甲方有权解除合同，收回租赁物业；如乙方因此被有关部门处罚的，乙方承担全部责任，并赔偿因此造成甲方或第三方的损失。</w:t>
      </w:r>
    </w:p>
    <w:p w14:paraId="51823315">
      <w:pPr>
        <w:keepNext w:val="0"/>
        <w:keepLines w:val="0"/>
        <w:pageBreakBefore w:val="0"/>
        <w:tabs>
          <w:tab w:val="left" w:pos="672"/>
        </w:tabs>
        <w:kinsoku/>
        <w:wordWrap/>
        <w:overflowPunct/>
        <w:topLinePunct w:val="0"/>
        <w:autoSpaceDE/>
        <w:bidi w:val="0"/>
        <w:snapToGrid/>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因乙方所设置、悬挂的物品而造成的财产损失、人身伤亡等事故的，一切法律责任和经济责任均由乙方承担。</w:t>
      </w:r>
    </w:p>
    <w:p w14:paraId="73750B16">
      <w:pPr>
        <w:keepNext w:val="0"/>
        <w:keepLines w:val="0"/>
        <w:pageBreakBefore w:val="0"/>
        <w:tabs>
          <w:tab w:val="left" w:pos="672"/>
        </w:tabs>
        <w:kinsoku/>
        <w:wordWrap/>
        <w:overflowPunct/>
        <w:topLinePunct w:val="0"/>
        <w:autoSpaceDE/>
        <w:bidi w:val="0"/>
        <w:snapToGrid/>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（十六）乙方应在租赁期间自行办理租赁手续以及为租赁物业内所住人员办理居住证等手续，如因乙方怠于办理被政府有关部门处罚的，乙方应负赔偿责任。</w:t>
      </w:r>
    </w:p>
    <w:p w14:paraId="0269ABD8">
      <w:pPr>
        <w:keepNext w:val="0"/>
        <w:keepLines w:val="0"/>
        <w:pageBreakBefore w:val="0"/>
        <w:tabs>
          <w:tab w:val="left" w:pos="672"/>
        </w:tabs>
        <w:kinsoku/>
        <w:wordWrap/>
        <w:overflowPunct/>
        <w:topLinePunct w:val="0"/>
        <w:autoSpaceDE/>
        <w:bidi w:val="0"/>
        <w:snapToGrid/>
        <w:spacing w:line="380" w:lineRule="exact"/>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十七）乙方不得以甲方名义对外开展活动，乙方负责及解决在租赁期间及租赁期满后所产生的一切债权、债务纠纷、侵权纠纷和劳动纠纷。乙方保证甲方不会被卷入乙方与任何第三人之间的劳资纠纷和人身伤亡、财产损失、商标专利等侵权纠纷，如甲方因此被卷入上述纠纷或因乙方被政府处罚、判决致使甲方受到损失的，甲方有权解除本合同，并要求乙方予以赔偿。</w:t>
      </w:r>
    </w:p>
    <w:p w14:paraId="2C33245D">
      <w:pPr>
        <w:keepNext w:val="0"/>
        <w:keepLines w:val="0"/>
        <w:pageBreakBefore w:val="0"/>
        <w:tabs>
          <w:tab w:val="left" w:pos="580"/>
        </w:tabs>
        <w:kinsoku/>
        <w:wordWrap/>
        <w:overflowPunct/>
        <w:topLinePunct w:val="0"/>
        <w:autoSpaceDE/>
        <w:bidi w:val="0"/>
        <w:snapToGrid/>
        <w:spacing w:line="380" w:lineRule="exact"/>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乙方因自身或其雇员、访客或者乙方添置的装修、设施，或由于乙方使用租赁物业的瑕疵、疏忽，而造成第三人人身伤害或财产损失的，由乙方承担全部责任；如甲方因此受到损失的，乙方应予赔偿。</w:t>
      </w:r>
    </w:p>
    <w:p w14:paraId="4C72E903">
      <w:pPr>
        <w:keepNext w:val="0"/>
        <w:keepLines w:val="0"/>
        <w:pageBreakBefore w:val="0"/>
        <w:tabs>
          <w:tab w:val="left" w:pos="535"/>
        </w:tabs>
        <w:kinsoku/>
        <w:wordWrap/>
        <w:overflowPunct/>
        <w:topLinePunct w:val="0"/>
        <w:autoSpaceDE/>
        <w:bidi w:val="0"/>
        <w:snapToGrid/>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t>（十八）如乙方需要安装或者使用超过租赁物业在交付时的水、电表容量的水、电设备，应事前征得甲方书面同意，并承担与之相关的手续及费用。</w:t>
      </w:r>
    </w:p>
    <w:p w14:paraId="1395A770">
      <w:pPr>
        <w:keepNext w:val="0"/>
        <w:keepLines w:val="0"/>
        <w:pageBreakBefore w:val="0"/>
        <w:tabs>
          <w:tab w:val="left" w:pos="545"/>
        </w:tabs>
        <w:kinsoku/>
        <w:wordWrap/>
        <w:overflowPunct/>
        <w:topLinePunct w:val="0"/>
        <w:autoSpaceDE/>
        <w:bidi w:val="0"/>
        <w:snapToGrid/>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t xml:space="preserve">（十九）乙方不得将租赁物业、租赁物业的使用权和本合同作任何形式的转让或经济担保、抵押；如有违反，视作乙方违约，甲方有权解除本合同，乙方所交纳的履约保证金不予退还，乙方还应承担相应的赔偿责任。 </w:t>
      </w:r>
      <w:r>
        <w:rPr>
          <w:rFonts w:hint="eastAsia" w:ascii="楷体_GB2312" w:hAnsi="楷体_GB2312" w:eastAsia="楷体_GB2312" w:cs="楷体_GB2312"/>
          <w:i/>
          <w:iCs/>
          <w:sz w:val="24"/>
          <w:szCs w:val="24"/>
        </w:rPr>
        <w:t xml:space="preserve">  </w:t>
      </w:r>
    </w:p>
    <w:p w14:paraId="24BD3D55">
      <w:pPr>
        <w:keepNext w:val="0"/>
        <w:keepLines w:val="0"/>
        <w:pageBreakBefore w:val="0"/>
        <w:tabs>
          <w:tab w:val="left" w:pos="535"/>
        </w:tabs>
        <w:kinsoku/>
        <w:wordWrap/>
        <w:overflowPunct/>
        <w:topLinePunct w:val="0"/>
        <w:autoSpaceDE/>
        <w:bidi w:val="0"/>
        <w:snapToGrid/>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t>（二十）乙方在租赁物业内所有报批手续资料、验收合格证、证照、图纸、年审等资料等文件的原件必须在乙方取得上述文件后30天内交给甲方保管，乙方如需使用再向甲方借用上述证照资料。</w:t>
      </w:r>
    </w:p>
    <w:p w14:paraId="5A5FCA63">
      <w:pPr>
        <w:keepNext w:val="0"/>
        <w:keepLines w:val="0"/>
        <w:pageBreakBefore w:val="0"/>
        <w:tabs>
          <w:tab w:val="left" w:pos="535"/>
        </w:tabs>
        <w:kinsoku/>
        <w:wordWrap/>
        <w:overflowPunct/>
        <w:topLinePunct w:val="0"/>
        <w:autoSpaceDE/>
        <w:bidi w:val="0"/>
        <w:snapToGrid/>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二十一）乙方或其任何雇员、代理人或授权人不得使用租赁物业作任何违反政府法律、法例及规定之行为或业务，包括不道德之用途，及不得作出危害该租赁物业、业主或其它物业之任何举动。乙方同意负责及赔偿因其之举动或违反此条款而引致甲方所蒙受的损失或费用。乙方在接获任何政府或公共机构有关该租赁物业之通知时应立即以书面通知甲方有关事项。</w:t>
      </w:r>
    </w:p>
    <w:p w14:paraId="606DF99C">
      <w:pPr>
        <w:keepNext w:val="0"/>
        <w:keepLines w:val="0"/>
        <w:pageBreakBefore w:val="0"/>
        <w:tabs>
          <w:tab w:val="left" w:pos="465"/>
        </w:tabs>
        <w:kinsoku/>
        <w:wordWrap/>
        <w:overflowPunct/>
        <w:topLinePunct w:val="0"/>
        <w:autoSpaceDE/>
        <w:bidi w:val="0"/>
        <w:snapToGrid/>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t>（二十二）乙方同意，甲方有权在租赁期结束前的壹个月内的所有合理时间内携同有意向承租该租赁物业的第三人，在预先通知乙方后察看租赁物业，但甲方不得干扰乙方的正常活动。</w:t>
      </w:r>
    </w:p>
    <w:p w14:paraId="6E105859">
      <w:pPr>
        <w:keepNext w:val="0"/>
        <w:keepLines w:val="0"/>
        <w:pageBreakBefore w:val="0"/>
        <w:tabs>
          <w:tab w:val="left" w:pos="465"/>
        </w:tabs>
        <w:kinsoku/>
        <w:wordWrap/>
        <w:overflowPunct/>
        <w:topLinePunct w:val="0"/>
        <w:autoSpaceDE/>
        <w:bidi w:val="0"/>
        <w:snapToGrid/>
        <w:spacing w:line="380" w:lineRule="exact"/>
        <w:ind w:firstLine="56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二十三）租赁期届满或合同终止、解除时，乙方应将符合正常使用后状态的租赁物业（包括且不限于租赁物业内的水、电设施等要完整，消防系统合格、厕所、通风管、下水道没有堵塞，打扫要干净卫生）以及乙方对租赁物业的一切投资（包括但不限于增建、扩建、改建、搭建的部分、水电设施、消防系统设备、特种设备以及租赁物业内一切镶嵌在墙体内或不可拆除的装修、设备设施等）按时无偿交还给甲方。如果乙方交付的物业不符合上述要求，甲方有权迟延退还履约保证金并要求乙方支付甲方因此而支出的费用。</w:t>
      </w:r>
    </w:p>
    <w:p w14:paraId="0E012B10">
      <w:pPr>
        <w:keepNext w:val="0"/>
        <w:keepLines w:val="0"/>
        <w:pageBreakBefore w:val="0"/>
        <w:tabs>
          <w:tab w:val="left" w:pos="0"/>
        </w:tabs>
        <w:kinsoku/>
        <w:wordWrap/>
        <w:overflowPunct/>
        <w:topLinePunct w:val="0"/>
        <w:autoSpaceDE/>
        <w:bidi w:val="0"/>
        <w:adjustRightInd w:val="0"/>
        <w:snapToGrid/>
        <w:spacing w:line="380" w:lineRule="exact"/>
        <w:ind w:left="10" w:leftChars="0" w:firstLine="439" w:firstLineChars="183"/>
        <w:rPr>
          <w:rFonts w:hint="eastAsia" w:ascii="楷体" w:hAnsi="楷体" w:eastAsia="楷体" w:cs="楷体"/>
          <w:sz w:val="24"/>
          <w:szCs w:val="24"/>
        </w:rPr>
      </w:pPr>
      <w:r>
        <w:rPr>
          <w:rFonts w:hint="eastAsia" w:ascii="楷体" w:hAnsi="楷体" w:eastAsia="楷体" w:cs="楷体"/>
          <w:sz w:val="24"/>
          <w:szCs w:val="24"/>
        </w:rPr>
        <w:t>（二十四）根据《广州市安全生产委员会办公室关于印发&lt;广州市2017年度安全生产责任保险试点工作方案&gt;的通知》（穗安办[2017]110号）、《广州市2017年安全生产责任保险方案（试行）》和广州市天河区石牌街安全生产委员会《关于加紧推进石牌街2017年度安全生产责任保险试点工作的通知》（穗天石安办[2018]2号）的要求，乙方必须在租赁合同生效的一个月内购买安全生产责任保险，并将购买凭证或发票复印一份交给甲方留档存查，如未能在前述期限内购买的，视为乙方违约，甲方有权解除本合同收回物业，履约保证金不予退还。</w:t>
      </w:r>
    </w:p>
    <w:p w14:paraId="3FB8050A">
      <w:pPr>
        <w:keepNext w:val="0"/>
        <w:keepLines w:val="0"/>
        <w:pageBreakBefore w:val="0"/>
        <w:tabs>
          <w:tab w:val="left" w:pos="580"/>
        </w:tabs>
        <w:kinsoku/>
        <w:wordWrap/>
        <w:overflowPunct/>
        <w:topLinePunct w:val="0"/>
        <w:autoSpaceDE/>
        <w:bidi w:val="0"/>
        <w:snapToGrid/>
        <w:spacing w:line="380" w:lineRule="exact"/>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（二十五）租赁期内，乙方如需提前解除合同的，应事前征得甲方同意。</w:t>
      </w:r>
    </w:p>
    <w:p w14:paraId="24829AF1">
      <w:pPr>
        <w:keepNext w:val="0"/>
        <w:keepLines w:val="0"/>
        <w:pageBreakBefore w:val="0"/>
        <w:tabs>
          <w:tab w:val="left" w:pos="720"/>
          <w:tab w:val="left" w:pos="1080"/>
        </w:tabs>
        <w:kinsoku/>
        <w:wordWrap/>
        <w:overflowPunct/>
        <w:topLinePunct w:val="0"/>
        <w:autoSpaceDE/>
        <w:bidi w:val="0"/>
        <w:snapToGrid/>
        <w:spacing w:line="380" w:lineRule="exact"/>
        <w:rPr>
          <w:rFonts w:hint="eastAsia" w:ascii="楷体_GB2312" w:hAnsi="楷体_GB2312" w:eastAsia="楷体_GB2312" w:cs="楷体_GB2312"/>
          <w:b/>
          <w:bCs/>
          <w:sz w:val="24"/>
          <w:szCs w:val="24"/>
        </w:rPr>
      </w:pPr>
      <w:r>
        <w:rPr>
          <w:rFonts w:hint="eastAsia" w:ascii="楷体_GB2312" w:hAnsi="楷体_GB2312" w:eastAsia="楷体_GB2312" w:cs="楷体_GB2312"/>
          <w:b/>
          <w:sz w:val="24"/>
          <w:szCs w:val="24"/>
        </w:rPr>
        <w:t xml:space="preserve">第六条 </w:t>
      </w:r>
      <w:r>
        <w:rPr>
          <w:rFonts w:hint="eastAsia" w:ascii="楷体_GB2312" w:hAnsi="楷体_GB2312" w:eastAsia="楷体_GB2312" w:cs="楷体_GB2312"/>
          <w:b/>
          <w:bCs/>
          <w:sz w:val="24"/>
          <w:szCs w:val="24"/>
        </w:rPr>
        <w:t>不可抗力</w:t>
      </w:r>
    </w:p>
    <w:p w14:paraId="3EC5B54A">
      <w:pPr>
        <w:keepNext w:val="0"/>
        <w:keepLines w:val="0"/>
        <w:pageBreakBefore w:val="0"/>
        <w:tabs>
          <w:tab w:val="left" w:pos="540"/>
        </w:tabs>
        <w:kinsoku/>
        <w:wordWrap/>
        <w:overflowPunct/>
        <w:topLinePunct w:val="0"/>
        <w:autoSpaceDE/>
        <w:bidi w:val="0"/>
        <w:snapToGrid/>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t>在合同有效期间，由于任何不可抗力事件（包括但不限于地震、台风、水灾、火灾、瘟疫、战争、政府行为、政策行为或其他不能预见、不能避免并不能克服的客观情况）致使一方不能按约定的条件履行时，应立即将情况书面通知对方，并应在15天内提供不可抗力的详细情况及合同不能履行，或者部分不能履行，或者需要延期履行的理由的有效证明文件,否则视为放弃不可抗力的免责条件。如在合同履行过程中因不可抗力导致损失的，双方互免责任。</w:t>
      </w:r>
    </w:p>
    <w:p w14:paraId="55B41EAC">
      <w:pPr>
        <w:keepNext w:val="0"/>
        <w:keepLines w:val="0"/>
        <w:pageBreakBefore w:val="0"/>
        <w:tabs>
          <w:tab w:val="left" w:pos="540"/>
        </w:tabs>
        <w:kinsoku/>
        <w:wordWrap/>
        <w:overflowPunct/>
        <w:topLinePunct w:val="0"/>
        <w:autoSpaceDE/>
        <w:bidi w:val="0"/>
        <w:snapToGrid/>
        <w:spacing w:line="380" w:lineRule="exact"/>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第七条 合同的变更、终止和解除</w:t>
      </w:r>
    </w:p>
    <w:p w14:paraId="006E0546">
      <w:pPr>
        <w:keepNext w:val="0"/>
        <w:keepLines w:val="0"/>
        <w:pageBreakBefore w:val="0"/>
        <w:tabs>
          <w:tab w:val="left" w:pos="540"/>
        </w:tabs>
        <w:kinsoku/>
        <w:wordWrap/>
        <w:overflowPunct/>
        <w:topLinePunct w:val="0"/>
        <w:autoSpaceDE/>
        <w:bidi w:val="0"/>
        <w:snapToGrid/>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b/>
          <w:bCs/>
          <w:sz w:val="24"/>
          <w:szCs w:val="24"/>
        </w:rPr>
        <w:tab/>
      </w:r>
      <w:r>
        <w:rPr>
          <w:rFonts w:hint="eastAsia" w:ascii="楷体_GB2312" w:hAnsi="楷体_GB2312" w:eastAsia="楷体_GB2312" w:cs="楷体_GB2312"/>
          <w:bCs/>
          <w:sz w:val="24"/>
          <w:szCs w:val="24"/>
        </w:rPr>
        <w:t>（一）</w:t>
      </w:r>
      <w:r>
        <w:rPr>
          <w:rFonts w:hint="eastAsia" w:ascii="楷体_GB2312" w:hAnsi="楷体_GB2312" w:eastAsia="楷体_GB2312" w:cs="楷体_GB2312"/>
          <w:sz w:val="24"/>
          <w:szCs w:val="24"/>
        </w:rPr>
        <w:t>甲乙双方在履行租赁合同期间，有关租赁合同内容的增加、减少或修订，均须取得双方协商一致，达成书面协议;如无法定或约定的理由，任何一方不得擅自变更或解除本合同。</w:t>
      </w:r>
    </w:p>
    <w:p w14:paraId="229D2A24">
      <w:pPr>
        <w:keepNext w:val="0"/>
        <w:keepLines w:val="0"/>
        <w:pageBreakBefore w:val="0"/>
        <w:tabs>
          <w:tab w:val="left" w:pos="540"/>
        </w:tabs>
        <w:kinsoku/>
        <w:wordWrap/>
        <w:overflowPunct/>
        <w:topLinePunct w:val="0"/>
        <w:autoSpaceDE/>
        <w:bidi w:val="0"/>
        <w:snapToGrid/>
        <w:spacing w:line="380" w:lineRule="exact"/>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二）在租赁期内，发生下列情况之一的，本合同自动终止，双方互不承担责任，但乙方尚欠甲方租金等其他费用的，甲方有权从履约保证金中抵扣，不足部分，甲方有权向乙方追讨；如有剩余部分，甲方则无息返还乙方：</w:t>
      </w:r>
    </w:p>
    <w:p w14:paraId="62BFC6B4">
      <w:pPr>
        <w:keepNext w:val="0"/>
        <w:keepLines w:val="0"/>
        <w:pageBreakBefore w:val="0"/>
        <w:tabs>
          <w:tab w:val="left" w:pos="535"/>
        </w:tabs>
        <w:kinsoku/>
        <w:wordWrap/>
        <w:overflowPunct/>
        <w:topLinePunct w:val="0"/>
        <w:autoSpaceDE/>
        <w:bidi w:val="0"/>
        <w:snapToGrid/>
        <w:spacing w:line="380" w:lineRule="exact"/>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1、本合同规定的期限届满，甲乙双方的权利、义务履行完毕的；</w:t>
      </w:r>
    </w:p>
    <w:p w14:paraId="243D6C87">
      <w:pPr>
        <w:keepNext w:val="0"/>
        <w:keepLines w:val="0"/>
        <w:pageBreakBefore w:val="0"/>
        <w:tabs>
          <w:tab w:val="left" w:pos="370"/>
        </w:tabs>
        <w:kinsoku/>
        <w:wordWrap/>
        <w:overflowPunct/>
        <w:topLinePunct w:val="0"/>
        <w:autoSpaceDE/>
        <w:bidi w:val="0"/>
        <w:snapToGrid/>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t xml:space="preserve"> </w:t>
      </w:r>
      <w:r>
        <w:rPr>
          <w:rFonts w:ascii="楷体_GB2312" w:hAnsi="楷体_GB2312" w:eastAsia="楷体_GB2312" w:cs="楷体_GB2312"/>
          <w:sz w:val="24"/>
          <w:szCs w:val="24"/>
        </w:rPr>
        <w:t>2</w:t>
      </w:r>
      <w:r>
        <w:rPr>
          <w:rFonts w:hint="eastAsia" w:ascii="楷体_GB2312" w:hAnsi="楷体_GB2312" w:eastAsia="楷体_GB2312" w:cs="楷体_GB2312"/>
          <w:sz w:val="24"/>
          <w:szCs w:val="24"/>
        </w:rPr>
        <w:t>、租赁物业占用范围内的土地使用权被依法收回的；</w:t>
      </w:r>
    </w:p>
    <w:p w14:paraId="4A8814FC">
      <w:pPr>
        <w:keepNext w:val="0"/>
        <w:keepLines w:val="0"/>
        <w:pageBreakBefore w:val="0"/>
        <w:tabs>
          <w:tab w:val="left" w:pos="370"/>
        </w:tabs>
        <w:kinsoku/>
        <w:wordWrap/>
        <w:overflowPunct/>
        <w:topLinePunct w:val="0"/>
        <w:autoSpaceDE/>
        <w:bidi w:val="0"/>
        <w:snapToGrid/>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t xml:space="preserve"> </w:t>
      </w:r>
      <w:r>
        <w:rPr>
          <w:rFonts w:ascii="楷体_GB2312" w:hAnsi="楷体_GB2312" w:eastAsia="楷体_GB2312" w:cs="楷体_GB2312"/>
          <w:sz w:val="24"/>
          <w:szCs w:val="24"/>
        </w:rPr>
        <w:t>3</w:t>
      </w:r>
      <w:r>
        <w:rPr>
          <w:rFonts w:hint="eastAsia" w:ascii="楷体_GB2312" w:hAnsi="楷体_GB2312" w:eastAsia="楷体_GB2312" w:cs="楷体_GB2312"/>
          <w:sz w:val="24"/>
          <w:szCs w:val="24"/>
        </w:rPr>
        <w:t>、因政府有关部门、土地开发中心等为社会公共利益或城市建设管理需要拆迁租赁物业或征用、借用租赁物业所在土地的；</w:t>
      </w:r>
    </w:p>
    <w:p w14:paraId="0776AB73">
      <w:pPr>
        <w:keepNext w:val="0"/>
        <w:keepLines w:val="0"/>
        <w:pageBreakBefore w:val="0"/>
        <w:kinsoku/>
        <w:wordWrap/>
        <w:overflowPunct/>
        <w:topLinePunct w:val="0"/>
        <w:autoSpaceDE/>
        <w:bidi w:val="0"/>
        <w:snapToGrid/>
        <w:spacing w:line="380" w:lineRule="exact"/>
        <w:ind w:firstLine="360" w:firstLineChars="150"/>
        <w:rPr>
          <w:rFonts w:hint="eastAsia" w:ascii="楷体_GB2312" w:hAnsi="楷体_GB2312" w:eastAsia="楷体_GB2312" w:cs="楷体_GB2312"/>
          <w:sz w:val="24"/>
          <w:szCs w:val="24"/>
        </w:rPr>
      </w:pPr>
      <w:r>
        <w:rPr>
          <w:rFonts w:ascii="楷体_GB2312" w:hAnsi="楷体_GB2312" w:eastAsia="楷体_GB2312" w:cs="楷体_GB2312"/>
          <w:sz w:val="24"/>
          <w:szCs w:val="24"/>
        </w:rPr>
        <w:t>4</w:t>
      </w:r>
      <w:r>
        <w:rPr>
          <w:rFonts w:hint="eastAsia" w:ascii="楷体_GB2312" w:hAnsi="楷体_GB2312" w:eastAsia="楷体_GB2312" w:cs="楷体_GB2312"/>
          <w:sz w:val="24"/>
          <w:szCs w:val="24"/>
        </w:rPr>
        <w:t>、甲乙双方书面协议解除的；</w:t>
      </w:r>
    </w:p>
    <w:p w14:paraId="7C4D2445">
      <w:pPr>
        <w:keepNext w:val="0"/>
        <w:keepLines w:val="0"/>
        <w:pageBreakBefore w:val="0"/>
        <w:kinsoku/>
        <w:wordWrap/>
        <w:overflowPunct/>
        <w:topLinePunct w:val="0"/>
        <w:autoSpaceDE/>
        <w:bidi w:val="0"/>
        <w:snapToGrid/>
        <w:spacing w:line="380" w:lineRule="exact"/>
        <w:ind w:firstLine="360" w:firstLineChars="15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w:t>
      </w:r>
      <w:r>
        <w:rPr>
          <w:rFonts w:ascii="楷体_GB2312" w:hAnsi="楷体_GB2312" w:eastAsia="楷体_GB2312" w:cs="楷体_GB2312"/>
          <w:sz w:val="24"/>
          <w:szCs w:val="24"/>
        </w:rPr>
        <w:t>5</w:t>
      </w:r>
      <w:r>
        <w:rPr>
          <w:rFonts w:hint="eastAsia" w:ascii="楷体_GB2312" w:hAnsi="楷体_GB2312" w:eastAsia="楷体_GB2312" w:cs="楷体_GB2312"/>
          <w:sz w:val="24"/>
          <w:szCs w:val="24"/>
        </w:rPr>
        <w:t>、非甲方或乙方原因导致租赁物业、附属设施损毁、灭失，致使本合同不能继续履行的或者该租赁物业被鉴定为危险房屋的；</w:t>
      </w:r>
    </w:p>
    <w:p w14:paraId="66A91302">
      <w:pPr>
        <w:keepNext w:val="0"/>
        <w:keepLines w:val="0"/>
        <w:pageBreakBefore w:val="0"/>
        <w:kinsoku/>
        <w:wordWrap/>
        <w:overflowPunct/>
        <w:topLinePunct w:val="0"/>
        <w:autoSpaceDE/>
        <w:bidi w:val="0"/>
        <w:snapToGrid/>
        <w:spacing w:line="380" w:lineRule="exact"/>
        <w:ind w:firstLine="360" w:firstLineChars="15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w:t>
      </w:r>
      <w:r>
        <w:rPr>
          <w:rFonts w:ascii="楷体_GB2312" w:hAnsi="楷体_GB2312" w:eastAsia="楷体_GB2312" w:cs="楷体_GB2312"/>
          <w:sz w:val="24"/>
          <w:szCs w:val="24"/>
        </w:rPr>
        <w:t>6</w:t>
      </w:r>
      <w:r>
        <w:rPr>
          <w:rFonts w:hint="eastAsia" w:ascii="楷体_GB2312" w:hAnsi="楷体_GB2312" w:eastAsia="楷体_GB2312" w:cs="楷体_GB2312"/>
          <w:sz w:val="24"/>
          <w:szCs w:val="24"/>
        </w:rPr>
        <w:t>、因不可抗力或国家有关政策致使本合同不能继续履行的，经甲乙双方协商后终止本合同。</w:t>
      </w:r>
    </w:p>
    <w:p w14:paraId="11F550F1">
      <w:pPr>
        <w:keepNext w:val="0"/>
        <w:keepLines w:val="0"/>
        <w:pageBreakBefore w:val="0"/>
        <w:kinsoku/>
        <w:wordWrap/>
        <w:overflowPunct/>
        <w:topLinePunct w:val="0"/>
        <w:autoSpaceDE/>
        <w:bidi w:val="0"/>
        <w:snapToGrid/>
        <w:spacing w:line="380" w:lineRule="exact"/>
        <w:ind w:firstLine="57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（三）当第七条第（二）款第</w:t>
      </w:r>
      <w:r>
        <w:rPr>
          <w:rFonts w:ascii="楷体_GB2312" w:hAnsi="楷体_GB2312" w:eastAsia="楷体_GB2312" w:cs="楷体_GB2312"/>
          <w:sz w:val="24"/>
          <w:szCs w:val="24"/>
        </w:rPr>
        <w:t>2</w:t>
      </w:r>
      <w:r>
        <w:rPr>
          <w:rFonts w:hint="eastAsia" w:ascii="楷体_GB2312" w:hAnsi="楷体_GB2312" w:eastAsia="楷体_GB2312" w:cs="楷体_GB2312"/>
          <w:sz w:val="24"/>
          <w:szCs w:val="24"/>
        </w:rPr>
        <w:t>、3项中约定的情况出现时，本合同自动终止，乙方应无条件按约定将租赁物业交还甲方，甲乙双方因此而造成的损失由各自承担，且因拆迁物业或收回、征用土地所得的利益和补偿全部无偿归甲方所有，乙方同意甲方无须承担任何赔偿或补偿责任。</w:t>
      </w:r>
    </w:p>
    <w:p w14:paraId="31E0B07C">
      <w:pPr>
        <w:keepNext w:val="0"/>
        <w:keepLines w:val="0"/>
        <w:pageBreakBefore w:val="0"/>
        <w:kinsoku/>
        <w:wordWrap/>
        <w:overflowPunct/>
        <w:topLinePunct w:val="0"/>
        <w:autoSpaceDE/>
        <w:bidi w:val="0"/>
        <w:snapToGrid/>
        <w:spacing w:line="380" w:lineRule="exact"/>
        <w:ind w:firstLine="570"/>
        <w:rPr>
          <w:rFonts w:hint="eastAsia" w:ascii="华文楷体" w:hAnsi="华文楷体" w:eastAsia="华文楷体"/>
          <w:sz w:val="24"/>
          <w:szCs w:val="24"/>
        </w:rPr>
      </w:pPr>
      <w:r>
        <w:rPr>
          <w:rFonts w:hint="eastAsia" w:ascii="楷体_GB2312" w:hAnsi="楷体_GB2312" w:eastAsia="楷体_GB2312" w:cs="楷体_GB2312"/>
          <w:sz w:val="24"/>
          <w:szCs w:val="24"/>
        </w:rPr>
        <w:t>（四）如因石牌村、产权人或甲方发展需要，需要改造、重建或整体调整经营模式或需要拆除、改建租赁物业的，本合同自动终止，</w:t>
      </w:r>
      <w:r>
        <w:rPr>
          <w:rFonts w:hint="eastAsia" w:ascii="华文楷体" w:hAnsi="华文楷体" w:eastAsia="华文楷体"/>
          <w:sz w:val="24"/>
          <w:szCs w:val="24"/>
        </w:rPr>
        <w:t>乙方应按本合同约定无条件将租赁物业交还甲方并缴清租金及相关费用，因此而造成的损失由甲乙双各自承担，乙方同意甲方无须承担任何赔偿或补偿责任。</w:t>
      </w:r>
    </w:p>
    <w:p w14:paraId="186CD551">
      <w:pPr>
        <w:keepNext w:val="0"/>
        <w:keepLines w:val="0"/>
        <w:pageBreakBefore w:val="0"/>
        <w:tabs>
          <w:tab w:val="left" w:pos="540"/>
          <w:tab w:val="left" w:pos="1080"/>
        </w:tabs>
        <w:kinsoku/>
        <w:wordWrap/>
        <w:overflowPunct/>
        <w:topLinePunct w:val="0"/>
        <w:autoSpaceDE/>
        <w:bidi w:val="0"/>
        <w:snapToGrid/>
        <w:spacing w:line="380" w:lineRule="exact"/>
        <w:ind w:firstLine="57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五）在租赁期内，有下列情形之一的，甲方有权解除合同，乙方在甲方发出书面通知书规定的时间内自行搬离，乙方所付的履约保证金等一切款项均不予以退还，因此产生的一切经济法律责任由乙方全部承担，如对甲方或第三人造成损失的（包括人身伤亡和财产损失），乙方应予赔偿：</w:t>
      </w:r>
    </w:p>
    <w:p w14:paraId="11849328">
      <w:pPr>
        <w:keepNext w:val="0"/>
        <w:keepLines w:val="0"/>
        <w:pageBreakBefore w:val="0"/>
        <w:tabs>
          <w:tab w:val="left" w:pos="535"/>
        </w:tabs>
        <w:kinsoku/>
        <w:wordWrap/>
        <w:overflowPunct/>
        <w:topLinePunct w:val="0"/>
        <w:autoSpaceDE/>
        <w:bidi w:val="0"/>
        <w:snapToGrid/>
        <w:spacing w:line="380" w:lineRule="exact"/>
        <w:ind w:firstLine="360" w:firstLineChars="15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1、乙方逾期交纳或不足额交纳租金达15天的；</w:t>
      </w:r>
    </w:p>
    <w:p w14:paraId="7271E72C">
      <w:pPr>
        <w:keepNext w:val="0"/>
        <w:keepLines w:val="0"/>
        <w:pageBreakBefore w:val="0"/>
        <w:tabs>
          <w:tab w:val="left" w:pos="535"/>
        </w:tabs>
        <w:kinsoku/>
        <w:wordWrap/>
        <w:overflowPunct/>
        <w:topLinePunct w:val="0"/>
        <w:autoSpaceDE/>
        <w:bidi w:val="0"/>
        <w:snapToGrid/>
        <w:spacing w:line="380" w:lineRule="exact"/>
        <w:ind w:firstLine="360" w:firstLineChars="15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2、乙方擅自将租赁物业转租、分租或擅自改变房屋结构的；</w:t>
      </w:r>
    </w:p>
    <w:p w14:paraId="5ED275C8">
      <w:pPr>
        <w:keepNext w:val="0"/>
        <w:keepLines w:val="0"/>
        <w:pageBreakBefore w:val="0"/>
        <w:tabs>
          <w:tab w:val="left" w:pos="535"/>
        </w:tabs>
        <w:kinsoku/>
        <w:wordWrap/>
        <w:overflowPunct/>
        <w:topLinePunct w:val="0"/>
        <w:autoSpaceDE/>
        <w:bidi w:val="0"/>
        <w:snapToGrid/>
        <w:spacing w:line="380" w:lineRule="exact"/>
        <w:ind w:firstLine="360" w:firstLineChars="150"/>
        <w:rPr>
          <w:rFonts w:hint="eastAsia" w:ascii="楷体_GB2312" w:hAnsi="楷体_GB2312" w:eastAsia="楷体_GB2312" w:cs="楷体_GB2312"/>
          <w:sz w:val="24"/>
          <w:szCs w:val="24"/>
        </w:rPr>
      </w:pPr>
      <w:r>
        <w:rPr>
          <w:rFonts w:hint="eastAsia" w:ascii="楷体_GB2312" w:hAnsi="楷体_GB2312" w:eastAsia="楷体_GB2312" w:cs="楷体_GB2312"/>
          <w:sz w:val="24"/>
          <w:szCs w:val="24"/>
          <w:lang w:val="en-US" w:eastAsia="zh-CN"/>
        </w:rPr>
        <w:t>3</w:t>
      </w:r>
      <w:r>
        <w:rPr>
          <w:rFonts w:hint="eastAsia" w:ascii="楷体_GB2312" w:hAnsi="楷体_GB2312" w:eastAsia="楷体_GB2312" w:cs="楷体_GB2312"/>
          <w:sz w:val="24"/>
          <w:szCs w:val="24"/>
        </w:rPr>
        <w:t>、乙方擅自改变租赁物业用途，不按照租赁物业性质使用的；</w:t>
      </w:r>
    </w:p>
    <w:p w14:paraId="27847B7B">
      <w:pPr>
        <w:keepNext w:val="0"/>
        <w:keepLines w:val="0"/>
        <w:pageBreakBefore w:val="0"/>
        <w:tabs>
          <w:tab w:val="left" w:pos="535"/>
        </w:tabs>
        <w:kinsoku/>
        <w:wordWrap/>
        <w:overflowPunct/>
        <w:topLinePunct w:val="0"/>
        <w:autoSpaceDE/>
        <w:bidi w:val="0"/>
        <w:snapToGrid/>
        <w:spacing w:line="380" w:lineRule="exact"/>
        <w:ind w:firstLine="360" w:firstLineChars="150"/>
        <w:rPr>
          <w:rFonts w:hint="eastAsia" w:ascii="楷体_GB2312" w:hAnsi="楷体_GB2312" w:eastAsia="楷体_GB2312" w:cs="楷体_GB2312"/>
          <w:sz w:val="24"/>
          <w:szCs w:val="24"/>
        </w:rPr>
      </w:pPr>
      <w:r>
        <w:rPr>
          <w:rFonts w:hint="eastAsia" w:ascii="楷体_GB2312" w:hAnsi="楷体_GB2312" w:eastAsia="楷体_GB2312" w:cs="楷体_GB2312"/>
          <w:sz w:val="24"/>
          <w:szCs w:val="24"/>
          <w:lang w:val="en-US" w:eastAsia="zh-CN"/>
        </w:rPr>
        <w:t>4</w:t>
      </w:r>
      <w:r>
        <w:rPr>
          <w:rFonts w:hint="eastAsia" w:ascii="楷体_GB2312" w:hAnsi="楷体_GB2312" w:eastAsia="楷体_GB2312" w:cs="楷体_GB2312"/>
          <w:sz w:val="24"/>
          <w:szCs w:val="24"/>
        </w:rPr>
        <w:t>、乙方违反国家、省、市关于安全生产、消防安全的法律法规、规章制度规定，导致发生安全生产、消防安全事故的，甲方还有权追究乙方的侵权责任或违约责任；</w:t>
      </w:r>
    </w:p>
    <w:p w14:paraId="7F9EB554">
      <w:pPr>
        <w:keepNext w:val="0"/>
        <w:keepLines w:val="0"/>
        <w:pageBreakBefore w:val="0"/>
        <w:tabs>
          <w:tab w:val="left" w:pos="535"/>
        </w:tabs>
        <w:kinsoku/>
        <w:wordWrap/>
        <w:overflowPunct/>
        <w:topLinePunct w:val="0"/>
        <w:autoSpaceDE/>
        <w:bidi w:val="0"/>
        <w:snapToGrid/>
        <w:spacing w:line="380" w:lineRule="exact"/>
        <w:ind w:firstLine="360" w:firstLineChars="150"/>
        <w:rPr>
          <w:rFonts w:hint="eastAsia" w:ascii="楷体_GB2312" w:hAnsi="楷体_GB2312" w:eastAsia="楷体_GB2312" w:cs="楷体_GB2312"/>
          <w:sz w:val="24"/>
          <w:szCs w:val="24"/>
        </w:rPr>
      </w:pPr>
      <w:r>
        <w:rPr>
          <w:rFonts w:hint="eastAsia" w:ascii="楷体_GB2312" w:hAnsi="楷体_GB2312" w:eastAsia="楷体_GB2312" w:cs="楷体_GB2312"/>
          <w:sz w:val="24"/>
          <w:szCs w:val="24"/>
          <w:lang w:val="en-US" w:eastAsia="zh-CN"/>
        </w:rPr>
        <w:t>5</w:t>
      </w:r>
      <w:r>
        <w:rPr>
          <w:rFonts w:hint="eastAsia" w:ascii="楷体_GB2312" w:hAnsi="楷体_GB2312" w:eastAsia="楷体_GB2312" w:cs="楷体_GB2312"/>
          <w:sz w:val="24"/>
          <w:szCs w:val="24"/>
        </w:rPr>
        <w:t>、乙方违反国家、省、市各项法律、法规、规章和政策行为，被政府有关部门处罚或被甲方发现的；</w:t>
      </w:r>
    </w:p>
    <w:p w14:paraId="780EB101">
      <w:pPr>
        <w:keepNext w:val="0"/>
        <w:keepLines w:val="0"/>
        <w:pageBreakBefore w:val="0"/>
        <w:tabs>
          <w:tab w:val="left" w:pos="535"/>
        </w:tabs>
        <w:kinsoku/>
        <w:wordWrap/>
        <w:overflowPunct/>
        <w:topLinePunct w:val="0"/>
        <w:autoSpaceDE/>
        <w:bidi w:val="0"/>
        <w:snapToGrid/>
        <w:spacing w:line="380" w:lineRule="exact"/>
        <w:ind w:firstLine="360" w:firstLineChars="150"/>
        <w:rPr>
          <w:rFonts w:hint="eastAsia" w:ascii="楷体_GB2312" w:hAnsi="楷体_GB2312" w:eastAsia="楷体_GB2312" w:cs="楷体_GB2312"/>
          <w:sz w:val="24"/>
          <w:szCs w:val="24"/>
        </w:rPr>
      </w:pPr>
      <w:r>
        <w:rPr>
          <w:rFonts w:hint="eastAsia" w:ascii="楷体_GB2312" w:hAnsi="楷体_GB2312" w:eastAsia="楷体_GB2312" w:cs="楷体_GB2312"/>
          <w:sz w:val="24"/>
          <w:szCs w:val="24"/>
          <w:lang w:val="en-US" w:eastAsia="zh-CN"/>
        </w:rPr>
        <w:t>6</w:t>
      </w:r>
      <w:r>
        <w:rPr>
          <w:rFonts w:hint="eastAsia" w:ascii="楷体_GB2312" w:hAnsi="楷体_GB2312" w:eastAsia="楷体_GB2312" w:cs="楷体_GB2312"/>
          <w:sz w:val="24"/>
          <w:szCs w:val="24"/>
        </w:rPr>
        <w:t>、甲方向乙方发出书面整改通知书满三次乙方仍未能完全整改的；</w:t>
      </w:r>
    </w:p>
    <w:p w14:paraId="1933BAA1">
      <w:pPr>
        <w:keepNext w:val="0"/>
        <w:keepLines w:val="0"/>
        <w:pageBreakBefore w:val="0"/>
        <w:tabs>
          <w:tab w:val="left" w:pos="535"/>
        </w:tabs>
        <w:kinsoku/>
        <w:wordWrap/>
        <w:overflowPunct/>
        <w:topLinePunct w:val="0"/>
        <w:autoSpaceDE/>
        <w:bidi w:val="0"/>
        <w:snapToGrid/>
        <w:spacing w:line="380" w:lineRule="exact"/>
        <w:ind w:firstLine="360" w:firstLineChars="150"/>
        <w:rPr>
          <w:rStyle w:val="10"/>
          <w:rFonts w:hint="eastAsia" w:ascii="楷体_GB2312" w:hAnsi="楷体_GB2312" w:eastAsia="楷体_GB2312"/>
          <w:sz w:val="24"/>
          <w:szCs w:val="24"/>
        </w:rPr>
      </w:pPr>
      <w:r>
        <w:rPr>
          <w:rFonts w:hint="eastAsia" w:ascii="楷体_GB2312" w:hAnsi="楷体_GB2312" w:eastAsia="楷体_GB2312" w:cs="楷体_GB2312"/>
          <w:sz w:val="24"/>
          <w:szCs w:val="24"/>
          <w:lang w:val="en-US" w:eastAsia="zh-CN"/>
        </w:rPr>
        <w:t>7</w:t>
      </w:r>
      <w:r>
        <w:rPr>
          <w:rFonts w:hint="eastAsia" w:ascii="楷体_GB2312" w:hAnsi="楷体_GB2312" w:eastAsia="楷体_GB2312" w:cs="楷体_GB2312"/>
          <w:sz w:val="24"/>
          <w:szCs w:val="24"/>
        </w:rPr>
        <w:t>、</w:t>
      </w:r>
      <w:r>
        <w:rPr>
          <w:rStyle w:val="10"/>
          <w:rFonts w:hint="eastAsia" w:ascii="楷体_GB2312" w:hAnsi="楷体_GB2312" w:eastAsia="楷体_GB2312"/>
          <w:sz w:val="24"/>
          <w:szCs w:val="24"/>
        </w:rPr>
        <w:t>乙方违反本合同第五条的规定；</w:t>
      </w:r>
    </w:p>
    <w:p w14:paraId="141B82F8">
      <w:pPr>
        <w:keepNext w:val="0"/>
        <w:keepLines w:val="0"/>
        <w:pageBreakBefore w:val="0"/>
        <w:tabs>
          <w:tab w:val="left" w:pos="535"/>
        </w:tabs>
        <w:kinsoku/>
        <w:wordWrap/>
        <w:overflowPunct/>
        <w:topLinePunct w:val="0"/>
        <w:autoSpaceDE/>
        <w:bidi w:val="0"/>
        <w:snapToGrid/>
        <w:spacing w:line="380" w:lineRule="exact"/>
        <w:ind w:firstLine="360" w:firstLineChars="150"/>
        <w:rPr>
          <w:rFonts w:hint="eastAsia" w:ascii="楷体_GB2312" w:hAnsi="楷体_GB2312" w:eastAsia="楷体_GB2312" w:cs="楷体_GB2312"/>
          <w:sz w:val="24"/>
          <w:szCs w:val="24"/>
        </w:rPr>
      </w:pPr>
      <w:r>
        <w:rPr>
          <w:rFonts w:hint="eastAsia" w:ascii="楷体_GB2312" w:hAnsi="楷体_GB2312" w:eastAsia="楷体_GB2312" w:cs="楷体_GB2312"/>
          <w:sz w:val="24"/>
          <w:szCs w:val="24"/>
          <w:lang w:val="en-US" w:eastAsia="zh-CN"/>
        </w:rPr>
        <w:t>8</w:t>
      </w:r>
      <w:r>
        <w:rPr>
          <w:rFonts w:hint="eastAsia" w:ascii="楷体_GB2312" w:hAnsi="楷体_GB2312" w:eastAsia="楷体_GB2312" w:cs="楷体_GB2312"/>
          <w:sz w:val="24"/>
          <w:szCs w:val="24"/>
        </w:rPr>
        <w:t>、本合同中约定的其他情形或法律、行政法规规定的其他情形。</w:t>
      </w:r>
    </w:p>
    <w:p w14:paraId="02CE2581">
      <w:pPr>
        <w:keepNext w:val="0"/>
        <w:keepLines w:val="0"/>
        <w:pageBreakBefore w:val="0"/>
        <w:tabs>
          <w:tab w:val="left" w:pos="580"/>
        </w:tabs>
        <w:kinsoku/>
        <w:wordWrap/>
        <w:overflowPunct/>
        <w:topLinePunct w:val="0"/>
        <w:autoSpaceDE/>
        <w:bidi w:val="0"/>
        <w:snapToGrid/>
        <w:spacing w:line="380" w:lineRule="exact"/>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第八条  租赁物业的交还</w:t>
      </w:r>
    </w:p>
    <w:p w14:paraId="74D56BCE">
      <w:pPr>
        <w:keepNext w:val="0"/>
        <w:keepLines w:val="0"/>
        <w:pageBreakBefore w:val="0"/>
        <w:tabs>
          <w:tab w:val="left" w:pos="580"/>
        </w:tabs>
        <w:kinsoku/>
        <w:wordWrap/>
        <w:overflowPunct/>
        <w:topLinePunct w:val="0"/>
        <w:autoSpaceDE/>
        <w:bidi w:val="0"/>
        <w:snapToGrid/>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一）租赁期届满或合同终止、解除之日，双方应共同检查、交接物业及其附属设备。如经检查乙方没有损坏物业及甲方所提供的设施设备，且已缴清租金和相关费用，也没有其他违约行为的，甲方将履约保证金按合同的约定无息退还乙方；如发现物业或附属设备有损坏或毁损的，甲方有权视设备设施损坏程度在乙方的履约保证金内扣除因修复所需的费用后，将剩余部分的履约保证金按合同的约定无息退还乙方；如履约保证金不足以支付因修复所需的费用，乙方还需补足差额部分，否则，甲方有权追偿。</w:t>
      </w:r>
    </w:p>
    <w:p w14:paraId="7B5C0BFD">
      <w:pPr>
        <w:keepNext w:val="0"/>
        <w:keepLines w:val="0"/>
        <w:pageBreakBefore w:val="0"/>
        <w:tabs>
          <w:tab w:val="left" w:pos="580"/>
        </w:tabs>
        <w:kinsoku/>
        <w:wordWrap/>
        <w:overflowPunct/>
        <w:topLinePunct w:val="0"/>
        <w:autoSpaceDE/>
        <w:bidi w:val="0"/>
        <w:snapToGrid/>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二）租赁期限届满或合同终止、解除之日，乙方应自行负责搬走租赁物业内的可移动物品、缴清费用并在妥善解决与次承租人之间的租赁关系和债权债务纠纷后将租赁物业交还甲方。乙方同意，乙方在物业内的一切投资（包括但不限于物业扩、加、改、增建部分，水电设施，消防系统，监控设备，特种设备，内外装修，一切镶嵌于墙体的装修和设备设施）无偿归甲方所有并交还甲方，甲方不予以补偿或赔偿。</w:t>
      </w:r>
    </w:p>
    <w:p w14:paraId="790A8268">
      <w:pPr>
        <w:keepNext w:val="0"/>
        <w:keepLines w:val="0"/>
        <w:pageBreakBefore w:val="0"/>
        <w:tabs>
          <w:tab w:val="left" w:pos="535"/>
        </w:tabs>
        <w:kinsoku/>
        <w:wordWrap/>
        <w:overflowPunct/>
        <w:topLinePunct w:val="0"/>
        <w:autoSpaceDE/>
        <w:bidi w:val="0"/>
        <w:snapToGrid/>
        <w:spacing w:line="380" w:lineRule="exact"/>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如乙方在租赁期满或合同终止、解除之日，未能把可移动物品或财产搬走的，视为乙方放弃对可移动物品的处理权并授权甲方以认为可行的方式予以处理，处理后所得款项归甲方所有。如处理后的款项不足弥补甲方损失的（包括乙方有欠租、欠费及违约金或其他造成甲方经济损失以及甲方因处理上述物品或财产而支出的费用），乙方还应负责赔偿。</w:t>
      </w:r>
    </w:p>
    <w:p w14:paraId="377818F6">
      <w:pPr>
        <w:keepNext w:val="0"/>
        <w:keepLines w:val="0"/>
        <w:pageBreakBefore w:val="0"/>
        <w:kinsoku/>
        <w:wordWrap/>
        <w:overflowPunct/>
        <w:topLinePunct w:val="0"/>
        <w:autoSpaceDE/>
        <w:bidi w:val="0"/>
        <w:snapToGrid/>
        <w:spacing w:line="380" w:lineRule="exact"/>
        <w:ind w:firstLine="480" w:firstLineChars="200"/>
        <w:rPr>
          <w:rStyle w:val="10"/>
          <w:sz w:val="24"/>
          <w:szCs w:val="24"/>
        </w:rPr>
      </w:pPr>
      <w:r>
        <w:rPr>
          <w:rFonts w:hint="eastAsia" w:ascii="楷体_GB2312" w:hAnsi="楷体_GB2312" w:eastAsia="楷体_GB2312" w:cs="楷体_GB2312"/>
          <w:sz w:val="24"/>
          <w:szCs w:val="24"/>
        </w:rPr>
        <w:t>当乙方发生逾期交还租赁物业的情况，甲方有权停水停电、有权进入该租赁物业，并有权决定挪动或不挪动该租赁物业内的物品，或将该租赁物业恢复至提供给乙方时的状况，乙方不得异议，也不得追究甲方责任和要求甲方赔偿，同时，甲方亦有权向乙方追讨因清除、清理、挪动前述物品和将该租赁物业恢复至提供给乙方时的状况所产生的所有费用。</w:t>
      </w:r>
    </w:p>
    <w:p w14:paraId="5C3CE392">
      <w:pPr>
        <w:keepNext w:val="0"/>
        <w:keepLines w:val="0"/>
        <w:pageBreakBefore w:val="0"/>
        <w:kinsoku/>
        <w:wordWrap/>
        <w:overflowPunct/>
        <w:topLinePunct w:val="0"/>
        <w:autoSpaceDE/>
        <w:bidi w:val="0"/>
        <w:snapToGrid/>
        <w:spacing w:line="380" w:lineRule="exact"/>
        <w:ind w:firstLine="480" w:firstLineChars="200"/>
        <w:rPr>
          <w:rStyle w:val="10"/>
          <w:rFonts w:hint="eastAsia"/>
          <w:sz w:val="24"/>
          <w:szCs w:val="24"/>
        </w:rPr>
      </w:pPr>
      <w:r>
        <w:rPr>
          <w:rFonts w:hint="eastAsia" w:ascii="楷体_GB2312" w:hAnsi="楷体_GB2312" w:eastAsia="楷体_GB2312" w:cs="楷体_GB2312"/>
          <w:sz w:val="24"/>
          <w:szCs w:val="24"/>
        </w:rPr>
        <w:t>因上述行为引起的一切经济损失和后果（包括甲方、乙方自身及其他第三人的），由乙方自行承担。</w:t>
      </w:r>
    </w:p>
    <w:p w14:paraId="0EB00EDB">
      <w:pPr>
        <w:pStyle w:val="3"/>
        <w:keepNext w:val="0"/>
        <w:keepLines w:val="0"/>
        <w:pageBreakBefore w:val="0"/>
        <w:kinsoku/>
        <w:wordWrap/>
        <w:overflowPunct/>
        <w:topLinePunct w:val="0"/>
        <w:autoSpaceDE/>
        <w:bidi w:val="0"/>
        <w:snapToGrid/>
        <w:spacing w:line="380" w:lineRule="exact"/>
        <w:ind w:firstLine="480" w:firstLineChars="200"/>
        <w:rPr>
          <w:rFonts w:ascii="楷体" w:hAnsi="楷体" w:eastAsia="楷体" w:cs="楷体_GB2312"/>
          <w:sz w:val="24"/>
          <w:szCs w:val="24"/>
        </w:rPr>
      </w:pPr>
      <w:r>
        <w:rPr>
          <w:rFonts w:hint="eastAsia" w:ascii="楷体" w:hAnsi="楷体" w:eastAsia="楷体" w:cs="楷体_GB2312"/>
          <w:sz w:val="24"/>
          <w:szCs w:val="24"/>
        </w:rPr>
        <w:t>（三）</w:t>
      </w:r>
      <w:r>
        <w:rPr>
          <w:rFonts w:hint="eastAsia" w:ascii="楷体" w:hAnsi="楷体" w:eastAsia="楷体"/>
          <w:sz w:val="24"/>
          <w:szCs w:val="24"/>
        </w:rPr>
        <w:t>乙方应在合同期届满之日或合同终止、解除之日交还租赁物业给甲方</w:t>
      </w:r>
      <w:r>
        <w:rPr>
          <w:rFonts w:hint="eastAsia" w:ascii="楷体" w:hAnsi="楷体" w:eastAsia="楷体" w:cs="楷体_GB2312"/>
          <w:sz w:val="24"/>
          <w:szCs w:val="24"/>
        </w:rPr>
        <w:t>，乙方逾期不交还租赁物业的，</w:t>
      </w:r>
      <w:r>
        <w:rPr>
          <w:rFonts w:hint="eastAsia" w:ascii="楷体" w:hAnsi="楷体" w:eastAsia="楷体"/>
          <w:sz w:val="24"/>
          <w:szCs w:val="24"/>
        </w:rPr>
        <w:t>每逾期一日</w:t>
      </w:r>
      <w:r>
        <w:rPr>
          <w:rFonts w:ascii="楷体" w:hAnsi="楷体" w:eastAsia="楷体"/>
          <w:sz w:val="24"/>
          <w:szCs w:val="24"/>
        </w:rPr>
        <w:t>，</w:t>
      </w:r>
      <w:r>
        <w:rPr>
          <w:rFonts w:hint="eastAsia" w:ascii="楷体" w:hAnsi="楷体" w:eastAsia="楷体"/>
          <w:sz w:val="24"/>
          <w:szCs w:val="24"/>
        </w:rPr>
        <w:t>乙方须按合同期届满之日或合同终止、解除之日的租金单价的</w:t>
      </w:r>
      <w:r>
        <w:rPr>
          <w:rFonts w:hint="eastAsia" w:ascii="楷体" w:hAnsi="楷体" w:eastAsia="楷体"/>
          <w:sz w:val="24"/>
          <w:szCs w:val="24"/>
          <w:u w:val="single"/>
        </w:rPr>
        <w:t xml:space="preserve"> </w:t>
      </w:r>
      <w:r>
        <w:rPr>
          <w:rFonts w:ascii="楷体" w:hAnsi="楷体" w:eastAsia="楷体"/>
          <w:sz w:val="24"/>
          <w:szCs w:val="24"/>
          <w:u w:val="single"/>
        </w:rPr>
        <w:t xml:space="preserve"> </w:t>
      </w:r>
      <w:r>
        <w:rPr>
          <w:rFonts w:hint="eastAsia" w:ascii="楷体" w:hAnsi="楷体" w:eastAsia="楷体"/>
          <w:sz w:val="24"/>
          <w:szCs w:val="24"/>
          <w:u w:val="single"/>
          <w:lang w:val="en-US" w:eastAsia="zh-CN"/>
        </w:rPr>
        <w:t>3</w:t>
      </w:r>
      <w:r>
        <w:rPr>
          <w:rFonts w:ascii="楷体" w:hAnsi="楷体" w:eastAsia="楷体"/>
          <w:sz w:val="24"/>
          <w:szCs w:val="24"/>
          <w:u w:val="single"/>
        </w:rPr>
        <w:t xml:space="preserve"> </w:t>
      </w:r>
      <w:r>
        <w:rPr>
          <w:rFonts w:hint="eastAsia" w:ascii="楷体" w:hAnsi="楷体" w:eastAsia="楷体"/>
          <w:sz w:val="24"/>
          <w:szCs w:val="24"/>
          <w:u w:val="single"/>
        </w:rPr>
        <w:t xml:space="preserve"> </w:t>
      </w:r>
      <w:r>
        <w:rPr>
          <w:rFonts w:hint="eastAsia" w:ascii="楷体" w:hAnsi="楷体" w:eastAsia="楷体"/>
          <w:sz w:val="24"/>
          <w:szCs w:val="24"/>
        </w:rPr>
        <w:t>倍向甲方支付该物业的占有使用费直至归还物业之日止。</w:t>
      </w:r>
      <w:r>
        <w:rPr>
          <w:rFonts w:hint="eastAsia" w:ascii="楷体" w:hAnsi="楷体" w:eastAsia="楷体" w:cs="楷体_GB2312"/>
          <w:sz w:val="24"/>
          <w:szCs w:val="24"/>
        </w:rPr>
        <w:t>如因此而造成甲方损失的，甲方有权向乙方追偿。</w:t>
      </w:r>
    </w:p>
    <w:p w14:paraId="4AEBF760">
      <w:pPr>
        <w:keepNext w:val="0"/>
        <w:keepLines w:val="0"/>
        <w:pageBreakBefore w:val="0"/>
        <w:tabs>
          <w:tab w:val="left" w:pos="580"/>
        </w:tabs>
        <w:kinsoku/>
        <w:wordWrap/>
        <w:overflowPunct/>
        <w:topLinePunct w:val="0"/>
        <w:autoSpaceDE/>
        <w:bidi w:val="0"/>
        <w:snapToGrid/>
        <w:spacing w:line="380" w:lineRule="exact"/>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四）租赁期届满或合同终止、解除时，乙方如有将租赁物业转租或分租给第三人的，乙方负责处理与该第三人的关系，该第三人必须在租赁期届满或合同终止、解除之日自行搬出租赁物业或与甲方协商后重新签订租赁合同，如该第三人既不自行搬出租赁物业也未与甲方重新签订租约的，甲方有权依法收回租赁物业并要求第三人搬离，如因此造成第三人损失的，责任由乙方承担。</w:t>
      </w:r>
    </w:p>
    <w:p w14:paraId="69ABD1CC">
      <w:pPr>
        <w:keepNext w:val="0"/>
        <w:keepLines w:val="0"/>
        <w:pageBreakBefore w:val="0"/>
        <w:tabs>
          <w:tab w:val="left" w:pos="580"/>
        </w:tabs>
        <w:kinsoku/>
        <w:wordWrap/>
        <w:overflowPunct/>
        <w:topLinePunct w:val="0"/>
        <w:autoSpaceDE/>
        <w:bidi w:val="0"/>
        <w:snapToGrid/>
        <w:spacing w:line="380" w:lineRule="exact"/>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（五）租赁物业的交还必须满足下列全部条件：</w:t>
      </w:r>
    </w:p>
    <w:p w14:paraId="422FC9CE">
      <w:pPr>
        <w:keepNext w:val="0"/>
        <w:keepLines w:val="0"/>
        <w:pageBreakBefore w:val="0"/>
        <w:tabs>
          <w:tab w:val="left" w:pos="580"/>
        </w:tabs>
        <w:kinsoku/>
        <w:wordWrap/>
        <w:overflowPunct/>
        <w:topLinePunct w:val="0"/>
        <w:autoSpaceDE/>
        <w:bidi w:val="0"/>
        <w:snapToGrid/>
        <w:spacing w:line="380" w:lineRule="exact"/>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1、乙方已将租赁物业的所有钥匙交还甲方；</w:t>
      </w:r>
    </w:p>
    <w:p w14:paraId="787E9ED9">
      <w:pPr>
        <w:keepNext w:val="0"/>
        <w:keepLines w:val="0"/>
        <w:pageBreakBefore w:val="0"/>
        <w:tabs>
          <w:tab w:val="left" w:pos="580"/>
        </w:tabs>
        <w:kinsoku/>
        <w:wordWrap/>
        <w:overflowPunct/>
        <w:topLinePunct w:val="0"/>
        <w:autoSpaceDE/>
        <w:bidi w:val="0"/>
        <w:snapToGrid/>
        <w:spacing w:line="380" w:lineRule="exact"/>
        <w:ind w:firstLine="480" w:firstLineChars="200"/>
        <w:rPr>
          <w:rFonts w:ascii="楷体_GB2312" w:hAnsi="楷体_GB2312" w:eastAsia="楷体_GB2312" w:cs="楷体_GB2312"/>
          <w:sz w:val="24"/>
          <w:szCs w:val="24"/>
        </w:rPr>
      </w:pPr>
      <w:r>
        <w:rPr>
          <w:rFonts w:hint="eastAsia" w:ascii="楷体_GB2312" w:hAnsi="楷体_GB2312" w:eastAsia="楷体_GB2312" w:cs="楷体_GB2312"/>
          <w:sz w:val="24"/>
          <w:szCs w:val="24"/>
        </w:rPr>
        <w:t>2、甲方与乙方已签署了书面的交接单。</w:t>
      </w:r>
    </w:p>
    <w:p w14:paraId="07AFF8CC">
      <w:pPr>
        <w:keepNext w:val="0"/>
        <w:keepLines w:val="0"/>
        <w:pageBreakBefore w:val="0"/>
        <w:kinsoku/>
        <w:wordWrap/>
        <w:overflowPunct/>
        <w:topLinePunct w:val="0"/>
        <w:autoSpaceDE/>
        <w:bidi w:val="0"/>
        <w:snapToGrid/>
        <w:spacing w:line="380" w:lineRule="exact"/>
        <w:rPr>
          <w:rFonts w:hint="eastAsia" w:ascii="楷体_GB2312" w:hAnsi="楷体_GB2312" w:eastAsia="楷体_GB2312" w:cs="楷体_GB2312"/>
          <w:b/>
          <w:sz w:val="24"/>
          <w:szCs w:val="24"/>
        </w:rPr>
      </w:pPr>
      <w:r>
        <w:rPr>
          <w:rFonts w:hint="eastAsia" w:ascii="楷体_GB2312" w:hAnsi="楷体_GB2312" w:eastAsia="楷体_GB2312" w:cs="楷体_GB2312"/>
          <w:b/>
          <w:sz w:val="24"/>
          <w:szCs w:val="24"/>
        </w:rPr>
        <w:t>第九条 违约责任</w:t>
      </w:r>
    </w:p>
    <w:p w14:paraId="05961384">
      <w:pPr>
        <w:keepNext w:val="0"/>
        <w:keepLines w:val="0"/>
        <w:pageBreakBefore w:val="0"/>
        <w:tabs>
          <w:tab w:val="left" w:pos="540"/>
        </w:tabs>
        <w:kinsoku/>
        <w:wordWrap/>
        <w:overflowPunct/>
        <w:topLinePunct w:val="0"/>
        <w:autoSpaceDE/>
        <w:bidi w:val="0"/>
        <w:snapToGrid/>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b/>
          <w:sz w:val="24"/>
          <w:szCs w:val="24"/>
        </w:rPr>
        <w:tab/>
      </w:r>
      <w:r>
        <w:rPr>
          <w:rFonts w:hint="eastAsia" w:ascii="楷体_GB2312" w:hAnsi="楷体_GB2312" w:eastAsia="楷体_GB2312" w:cs="楷体_GB2312"/>
          <w:sz w:val="24"/>
          <w:szCs w:val="24"/>
        </w:rPr>
        <w:t>（一）租赁期内任何一方而单方提出解除合同的视为违约，应向守约方支付人民币</w:t>
      </w:r>
      <w:r>
        <w:rPr>
          <w:rFonts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u w:val="single"/>
          <w:lang w:val="en-US" w:eastAsia="zh-CN"/>
        </w:rPr>
        <w:t xml:space="preserve"> </w:t>
      </w:r>
      <w:r>
        <w:rPr>
          <w:rFonts w:hint="eastAsia" w:ascii="楷体_GB2312" w:hAnsi="楷体_GB2312" w:eastAsia="楷体_GB2312" w:cs="楷体_GB2312"/>
          <w:sz w:val="24"/>
          <w:szCs w:val="24"/>
        </w:rPr>
        <w:t>元的违约金，守约方还有权要求赔偿损失。</w:t>
      </w:r>
    </w:p>
    <w:p w14:paraId="70DB9E08">
      <w:pPr>
        <w:keepNext w:val="0"/>
        <w:keepLines w:val="0"/>
        <w:pageBreakBefore w:val="0"/>
        <w:tabs>
          <w:tab w:val="left" w:pos="672"/>
        </w:tabs>
        <w:kinsoku/>
        <w:wordWrap/>
        <w:overflowPunct/>
        <w:topLinePunct w:val="0"/>
        <w:autoSpaceDE/>
        <w:bidi w:val="0"/>
        <w:snapToGrid/>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（二）任何一方如违反本合同规定或未能全部履行本合同规定的义务的，守约方均有权解除本合同并要求违约方赔偿因此而造成的损失。</w:t>
      </w:r>
    </w:p>
    <w:p w14:paraId="644A5752">
      <w:pPr>
        <w:keepNext w:val="0"/>
        <w:keepLines w:val="0"/>
        <w:pageBreakBefore w:val="0"/>
        <w:tabs>
          <w:tab w:val="left" w:pos="535"/>
        </w:tabs>
        <w:kinsoku/>
        <w:wordWrap/>
        <w:overflowPunct/>
        <w:topLinePunct w:val="0"/>
        <w:autoSpaceDE/>
        <w:bidi w:val="0"/>
        <w:snapToGrid/>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（三）乙方如未依约按时足额交付履约保证金，甲方有权解除本合同，并要求乙方赔偿因此而造成的损失。</w:t>
      </w:r>
    </w:p>
    <w:p w14:paraId="3E795061">
      <w:pPr>
        <w:keepNext w:val="0"/>
        <w:keepLines w:val="0"/>
        <w:pageBreakBefore w:val="0"/>
        <w:tabs>
          <w:tab w:val="left" w:pos="535"/>
        </w:tabs>
        <w:kinsoku/>
        <w:wordWrap/>
        <w:overflowPunct/>
        <w:topLinePunct w:val="0"/>
        <w:autoSpaceDE/>
        <w:bidi w:val="0"/>
        <w:snapToGrid/>
        <w:spacing w:line="380" w:lineRule="exact"/>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（四）乙方应依时足额交纳租金，如逾期足额支付租金，自超过之日起每逾期一日，乙方须按所欠租金总额的</w:t>
      </w:r>
      <w:r>
        <w:rPr>
          <w:rFonts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u w:val="single"/>
          <w:lang w:val="en-US" w:eastAsia="zh-CN"/>
        </w:rPr>
        <w:t>1</w:t>
      </w:r>
      <w:r>
        <w:rPr>
          <w:rFonts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u w:val="single"/>
        </w:rPr>
        <w:t>%</w:t>
      </w:r>
      <w:r>
        <w:rPr>
          <w:rFonts w:hint="eastAsia" w:ascii="楷体_GB2312" w:hAnsi="楷体_GB2312" w:eastAsia="楷体_GB2312" w:cs="楷体_GB2312"/>
          <w:sz w:val="24"/>
          <w:szCs w:val="24"/>
        </w:rPr>
        <w:t>向甲方支付逾期违约金。</w:t>
      </w:r>
    </w:p>
    <w:p w14:paraId="15EBF6C9">
      <w:pPr>
        <w:keepNext w:val="0"/>
        <w:keepLines w:val="0"/>
        <w:pageBreakBefore w:val="0"/>
        <w:tabs>
          <w:tab w:val="left" w:pos="535"/>
        </w:tabs>
        <w:kinsoku/>
        <w:wordWrap/>
        <w:overflowPunct/>
        <w:topLinePunct w:val="0"/>
        <w:autoSpaceDE/>
        <w:bidi w:val="0"/>
        <w:snapToGrid/>
        <w:spacing w:line="380" w:lineRule="exact"/>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（五）甲方依本合同约定解除合同的，乙方交纳的履约保证金不予以退还；若履约保证金不足以弥补甲方的一切损失及依据本合同可获得的利益的，则乙方仍应向甲方作出相应赔偿。</w:t>
      </w:r>
    </w:p>
    <w:p w14:paraId="36F22DB9">
      <w:pPr>
        <w:keepNext w:val="0"/>
        <w:keepLines w:val="0"/>
        <w:pageBreakBefore w:val="0"/>
        <w:tabs>
          <w:tab w:val="left" w:pos="535"/>
        </w:tabs>
        <w:kinsoku/>
        <w:wordWrap/>
        <w:overflowPunct/>
        <w:topLinePunct w:val="0"/>
        <w:autoSpaceDE/>
        <w:bidi w:val="0"/>
        <w:snapToGrid/>
        <w:spacing w:line="380" w:lineRule="exact"/>
        <w:rPr>
          <w:rFonts w:hint="eastAsia" w:ascii="楷体_GB2312" w:hAnsi="楷体_GB2312" w:eastAsia="楷体_GB2312" w:cs="楷体_GB2312"/>
          <w:b/>
          <w:bCs/>
          <w:sz w:val="24"/>
          <w:szCs w:val="24"/>
        </w:rPr>
      </w:pPr>
      <w:r>
        <w:rPr>
          <w:rFonts w:hint="eastAsia" w:ascii="楷体_GB2312" w:hAnsi="楷体_GB2312" w:eastAsia="楷体_GB2312" w:cs="楷体_GB2312"/>
          <w:sz w:val="24"/>
          <w:szCs w:val="24"/>
        </w:rPr>
        <w:t xml:space="preserve"> </w:t>
      </w:r>
      <w:r>
        <w:rPr>
          <w:rFonts w:ascii="楷体_GB2312" w:hAnsi="楷体_GB2312" w:eastAsia="楷体_GB2312" w:cs="楷体_GB2312"/>
          <w:sz w:val="24"/>
          <w:szCs w:val="24"/>
        </w:rPr>
        <w:t xml:space="preserve"> </w:t>
      </w:r>
      <w:r>
        <w:rPr>
          <w:rFonts w:hint="eastAsia" w:ascii="楷体_GB2312" w:hAnsi="楷体_GB2312" w:eastAsia="楷体_GB2312" w:cs="楷体_GB2312"/>
          <w:sz w:val="24"/>
          <w:szCs w:val="24"/>
        </w:rPr>
        <w:t xml:space="preserve"> </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rPr>
        <w:t>（六）租赁期内，如乙方注销、被吊销、依法解散、破产等丧失民事主体资格和能力的行为（乙方为个人时，如乙方丧失或限制民事行为能力的），均视为乙方违约，甲方有权解除本合同并收回物业，履约保证金不予退还。</w:t>
      </w:r>
    </w:p>
    <w:p w14:paraId="7524D9FB">
      <w:pPr>
        <w:keepNext w:val="0"/>
        <w:keepLines w:val="0"/>
        <w:pageBreakBefore w:val="0"/>
        <w:tabs>
          <w:tab w:val="left" w:pos="1080"/>
        </w:tabs>
        <w:kinsoku/>
        <w:wordWrap/>
        <w:overflowPunct/>
        <w:topLinePunct w:val="0"/>
        <w:autoSpaceDE/>
        <w:bidi w:val="0"/>
        <w:snapToGrid/>
        <w:spacing w:line="380" w:lineRule="exact"/>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第十条 争议的解决</w:t>
      </w:r>
    </w:p>
    <w:p w14:paraId="63AB003C">
      <w:pPr>
        <w:keepNext w:val="0"/>
        <w:keepLines w:val="0"/>
        <w:pageBreakBefore w:val="0"/>
        <w:kinsoku/>
        <w:wordWrap/>
        <w:overflowPunct/>
        <w:topLinePunct w:val="0"/>
        <w:autoSpaceDE/>
        <w:bidi w:val="0"/>
        <w:snapToGrid/>
        <w:spacing w:line="380" w:lineRule="exact"/>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（一）凡因执行本合同所发生的或与本合同有关的一切争议，双方通过友好协商解决。双方如协商不成的，任何一方均有权向广州市天河区人民法院起诉。</w:t>
      </w:r>
    </w:p>
    <w:p w14:paraId="02F652EB">
      <w:pPr>
        <w:keepNext w:val="0"/>
        <w:keepLines w:val="0"/>
        <w:pageBreakBefore w:val="0"/>
        <w:tabs>
          <w:tab w:val="left" w:pos="540"/>
        </w:tabs>
        <w:kinsoku/>
        <w:wordWrap/>
        <w:overflowPunct/>
        <w:topLinePunct w:val="0"/>
        <w:autoSpaceDE/>
        <w:bidi w:val="0"/>
        <w:snapToGrid/>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w:t>
      </w:r>
      <w:r>
        <w:rPr>
          <w:rFonts w:ascii="楷体_GB2312" w:hAnsi="楷体_GB2312" w:eastAsia="楷体_GB2312" w:cs="楷体_GB2312"/>
          <w:sz w:val="24"/>
          <w:szCs w:val="24"/>
        </w:rPr>
        <w:t xml:space="preserve">  </w:t>
      </w:r>
      <w:r>
        <w:rPr>
          <w:rFonts w:hint="eastAsia" w:ascii="楷体_GB2312" w:hAnsi="楷体_GB2312" w:eastAsia="楷体_GB2312" w:cs="楷体_GB2312"/>
          <w:sz w:val="24"/>
          <w:szCs w:val="24"/>
        </w:rPr>
        <w:t>（二）守约方因追究违约方违约责任所支付的一切费用（包括但不限于律师费，诉讼费，交通费，差旅费，食宿费，行政、司法、鉴定、公证、翻译费、调查费，评估费等）均由违约方承担。</w:t>
      </w:r>
    </w:p>
    <w:p w14:paraId="424CBD5D">
      <w:pPr>
        <w:keepNext w:val="0"/>
        <w:keepLines w:val="0"/>
        <w:pageBreakBefore w:val="0"/>
        <w:tabs>
          <w:tab w:val="left" w:pos="720"/>
        </w:tabs>
        <w:kinsoku/>
        <w:wordWrap/>
        <w:overflowPunct/>
        <w:topLinePunct w:val="0"/>
        <w:autoSpaceDE/>
        <w:bidi w:val="0"/>
        <w:snapToGrid/>
        <w:spacing w:line="380" w:lineRule="exact"/>
        <w:rPr>
          <w:rFonts w:hint="eastAsia" w:ascii="楷体_GB2312" w:hAnsi="楷体_GB2312" w:eastAsia="楷体_GB2312" w:cs="楷体_GB2312"/>
          <w:b/>
          <w:sz w:val="24"/>
          <w:szCs w:val="24"/>
        </w:rPr>
      </w:pPr>
      <w:r>
        <w:rPr>
          <w:rFonts w:hint="eastAsia" w:ascii="楷体_GB2312" w:hAnsi="楷体_GB2312" w:eastAsia="楷体_GB2312" w:cs="楷体_GB2312"/>
          <w:b/>
          <w:sz w:val="24"/>
          <w:szCs w:val="24"/>
        </w:rPr>
        <w:t>第十一条  文件信函、通知的送达</w:t>
      </w:r>
    </w:p>
    <w:p w14:paraId="620F47FB">
      <w:pPr>
        <w:keepNext w:val="0"/>
        <w:keepLines w:val="0"/>
        <w:pageBreakBefore w:val="0"/>
        <w:tabs>
          <w:tab w:val="left" w:pos="720"/>
        </w:tabs>
        <w:kinsoku/>
        <w:wordWrap/>
        <w:overflowPunct/>
        <w:topLinePunct w:val="0"/>
        <w:autoSpaceDE/>
        <w:bidi w:val="0"/>
        <w:snapToGrid/>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甲、乙双方之间传递的信息如果涉及双方权利、义务的，应随之发出书面文件或通知。合同中所列的甲、乙双方的地址，即为甲、乙方的收件地址。租赁合同中所列甲乙双方的地址如有变更，变更方应书面通知对方，否则通知不到的责任由其自行承担。</w:t>
      </w:r>
    </w:p>
    <w:p w14:paraId="41A4AF1B">
      <w:pPr>
        <w:keepNext w:val="0"/>
        <w:keepLines w:val="0"/>
        <w:pageBreakBefore w:val="0"/>
        <w:tabs>
          <w:tab w:val="left" w:pos="540"/>
        </w:tabs>
        <w:kinsoku/>
        <w:wordWrap/>
        <w:overflowPunct/>
        <w:topLinePunct w:val="0"/>
        <w:autoSpaceDE/>
        <w:bidi w:val="0"/>
        <w:snapToGrid/>
        <w:spacing w:line="380" w:lineRule="exact"/>
        <w:rPr>
          <w:rFonts w:hint="eastAsia" w:ascii="楷体_GB2312" w:hAnsi="楷体_GB2312" w:eastAsia="楷体_GB2312" w:cs="楷体_GB2312"/>
          <w:b/>
          <w:bCs/>
          <w:sz w:val="24"/>
          <w:szCs w:val="24"/>
        </w:rPr>
      </w:pPr>
      <w:r>
        <w:rPr>
          <w:rFonts w:hint="eastAsia" w:ascii="楷体_GB2312" w:hAnsi="楷体_GB2312" w:eastAsia="楷体_GB2312" w:cs="楷体_GB2312"/>
          <w:sz w:val="24"/>
          <w:szCs w:val="24"/>
        </w:rPr>
        <w:t>第</w:t>
      </w:r>
      <w:r>
        <w:rPr>
          <w:rFonts w:hint="eastAsia" w:ascii="楷体_GB2312" w:hAnsi="楷体_GB2312" w:eastAsia="楷体_GB2312" w:cs="楷体_GB2312"/>
          <w:b/>
          <w:bCs/>
          <w:sz w:val="24"/>
          <w:szCs w:val="24"/>
        </w:rPr>
        <w:t>十二条 保守秘密原则</w:t>
      </w:r>
    </w:p>
    <w:p w14:paraId="56DBA9EB">
      <w:pPr>
        <w:keepNext w:val="0"/>
        <w:keepLines w:val="0"/>
        <w:pageBreakBefore w:val="0"/>
        <w:tabs>
          <w:tab w:val="left" w:pos="540"/>
        </w:tabs>
        <w:kinsoku/>
        <w:wordWrap/>
        <w:overflowPunct/>
        <w:topLinePunct w:val="0"/>
        <w:autoSpaceDE/>
        <w:bidi w:val="0"/>
        <w:snapToGrid/>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b/>
          <w:bCs/>
          <w:sz w:val="24"/>
          <w:szCs w:val="24"/>
        </w:rPr>
        <w:tab/>
      </w:r>
      <w:r>
        <w:rPr>
          <w:rFonts w:hint="eastAsia" w:ascii="楷体_GB2312" w:hAnsi="楷体_GB2312" w:eastAsia="楷体_GB2312" w:cs="楷体_GB2312"/>
          <w:sz w:val="24"/>
          <w:szCs w:val="24"/>
        </w:rPr>
        <w:t>甲乙双方对本合同或在履行本合同过程中涉及的商业秘密，未经对方同意不得单方面向第三人公开。</w:t>
      </w:r>
    </w:p>
    <w:p w14:paraId="5BCC6282">
      <w:pPr>
        <w:keepNext w:val="0"/>
        <w:keepLines w:val="0"/>
        <w:pageBreakBefore w:val="0"/>
        <w:tabs>
          <w:tab w:val="left" w:pos="532"/>
        </w:tabs>
        <w:kinsoku/>
        <w:wordWrap/>
        <w:overflowPunct/>
        <w:topLinePunct w:val="0"/>
        <w:autoSpaceDE/>
        <w:bidi w:val="0"/>
        <w:snapToGrid/>
        <w:spacing w:line="380" w:lineRule="exact"/>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第十三条   保险</w:t>
      </w:r>
    </w:p>
    <w:p w14:paraId="18DFF683">
      <w:pPr>
        <w:pStyle w:val="3"/>
        <w:keepNext w:val="0"/>
        <w:keepLines w:val="0"/>
        <w:pageBreakBefore w:val="0"/>
        <w:kinsoku/>
        <w:wordWrap/>
        <w:overflowPunct/>
        <w:topLinePunct w:val="0"/>
        <w:autoSpaceDE/>
        <w:bidi w:val="0"/>
        <w:snapToGrid/>
        <w:spacing w:line="380" w:lineRule="exact"/>
        <w:ind w:firstLine="480" w:firstLineChars="200"/>
        <w:rPr>
          <w:rFonts w:ascii="楷体" w:hAnsi="楷体" w:eastAsia="楷体"/>
          <w:sz w:val="24"/>
          <w:szCs w:val="24"/>
        </w:rPr>
      </w:pPr>
      <w:r>
        <w:rPr>
          <w:rFonts w:hint="eastAsia" w:ascii="楷体" w:hAnsi="楷体" w:eastAsia="楷体" w:cs="楷体_GB2312"/>
          <w:sz w:val="24"/>
          <w:szCs w:val="24"/>
        </w:rPr>
        <w:t>租赁期内，</w:t>
      </w:r>
      <w:r>
        <w:rPr>
          <w:rFonts w:hint="eastAsia" w:ascii="楷体" w:hAnsi="楷体" w:eastAsia="楷体"/>
          <w:sz w:val="24"/>
          <w:szCs w:val="24"/>
        </w:rPr>
        <w:t>乙方应</w:t>
      </w:r>
      <w:r>
        <w:rPr>
          <w:rFonts w:hint="eastAsia" w:ascii="楷体_GB2312" w:hAnsi="楷体_GB2312" w:eastAsia="楷体_GB2312" w:cs="楷体_GB2312"/>
          <w:sz w:val="24"/>
          <w:szCs w:val="24"/>
        </w:rPr>
        <w:t>向声誉良好的保险公司</w:t>
      </w:r>
      <w:r>
        <w:rPr>
          <w:rFonts w:hint="eastAsia" w:ascii="楷体" w:hAnsi="楷体" w:eastAsia="楷体"/>
          <w:sz w:val="24"/>
          <w:szCs w:val="24"/>
        </w:rPr>
        <w:t>对租赁物业投保财产一切保险、附加第三者责任险（以甲方为第一受益人）和公众责任险（在保险单中将甲方列为共同被保险人）并负担相应</w:t>
      </w:r>
      <w:r>
        <w:rPr>
          <w:rFonts w:ascii="楷体" w:hAnsi="楷体" w:eastAsia="楷体"/>
          <w:sz w:val="24"/>
          <w:szCs w:val="24"/>
        </w:rPr>
        <w:t>费用</w:t>
      </w:r>
      <w:r>
        <w:rPr>
          <w:rFonts w:hint="eastAsia" w:ascii="楷体" w:hAnsi="楷体" w:eastAsia="楷体"/>
          <w:sz w:val="24"/>
          <w:szCs w:val="24"/>
        </w:rPr>
        <w:t>，乙方在</w:t>
      </w:r>
      <w:r>
        <w:rPr>
          <w:rFonts w:ascii="楷体" w:hAnsi="楷体" w:eastAsia="楷体"/>
          <w:sz w:val="24"/>
          <w:szCs w:val="24"/>
        </w:rPr>
        <w:t>租赁期内须维持</w:t>
      </w:r>
      <w:r>
        <w:rPr>
          <w:rFonts w:hint="eastAsia" w:ascii="楷体" w:hAnsi="楷体" w:eastAsia="楷体"/>
          <w:sz w:val="24"/>
          <w:szCs w:val="24"/>
        </w:rPr>
        <w:t>前述</w:t>
      </w:r>
      <w:r>
        <w:rPr>
          <w:rFonts w:ascii="楷体" w:hAnsi="楷体" w:eastAsia="楷体"/>
          <w:sz w:val="24"/>
          <w:szCs w:val="24"/>
        </w:rPr>
        <w:t>保险的效力，乙方</w:t>
      </w:r>
      <w:r>
        <w:rPr>
          <w:rFonts w:hint="eastAsia" w:ascii="楷体" w:hAnsi="楷体" w:eastAsia="楷体"/>
          <w:sz w:val="24"/>
          <w:szCs w:val="24"/>
        </w:rPr>
        <w:t>应在本合同签订后</w:t>
      </w:r>
      <w:r>
        <w:rPr>
          <w:rFonts w:ascii="楷体" w:hAnsi="楷体" w:eastAsia="楷体"/>
          <w:sz w:val="24"/>
          <w:szCs w:val="24"/>
          <w:u w:val="single"/>
        </w:rPr>
        <w:t xml:space="preserve">  </w:t>
      </w:r>
      <w:r>
        <w:rPr>
          <w:rFonts w:hint="eastAsia" w:ascii="楷体" w:hAnsi="楷体" w:eastAsia="楷体"/>
          <w:sz w:val="24"/>
          <w:szCs w:val="24"/>
          <w:u w:val="single"/>
          <w:lang w:val="en-US" w:eastAsia="zh-CN"/>
        </w:rPr>
        <w:t>30</w:t>
      </w:r>
      <w:r>
        <w:rPr>
          <w:rFonts w:ascii="楷体" w:hAnsi="楷体" w:eastAsia="楷体"/>
          <w:sz w:val="24"/>
          <w:szCs w:val="24"/>
          <w:u w:val="single"/>
        </w:rPr>
        <w:t xml:space="preserve">  </w:t>
      </w:r>
      <w:r>
        <w:rPr>
          <w:rFonts w:hint="eastAsia" w:ascii="楷体" w:hAnsi="楷体" w:eastAsia="楷体"/>
          <w:sz w:val="24"/>
          <w:szCs w:val="24"/>
        </w:rPr>
        <w:t>日内投保并将保单正本及发票交付甲方。否则，视为</w:t>
      </w:r>
      <w:r>
        <w:rPr>
          <w:rFonts w:ascii="楷体" w:hAnsi="楷体" w:eastAsia="楷体"/>
          <w:sz w:val="24"/>
          <w:szCs w:val="24"/>
        </w:rPr>
        <w:t>乙方违约，甲方</w:t>
      </w:r>
      <w:r>
        <w:rPr>
          <w:rFonts w:hint="eastAsia" w:ascii="楷体" w:hAnsi="楷体" w:eastAsia="楷体"/>
          <w:sz w:val="24"/>
          <w:szCs w:val="24"/>
        </w:rPr>
        <w:t>有权解除本合同收回物业，履约保证金不予退还。</w:t>
      </w:r>
    </w:p>
    <w:p w14:paraId="2C7BAB06">
      <w:pPr>
        <w:keepNext w:val="0"/>
        <w:keepLines w:val="0"/>
        <w:pageBreakBefore w:val="0"/>
        <w:widowControl/>
        <w:kinsoku/>
        <w:wordWrap/>
        <w:overflowPunct/>
        <w:topLinePunct w:val="0"/>
        <w:autoSpaceDE/>
        <w:bidi w:val="0"/>
        <w:snapToGrid/>
        <w:spacing w:line="380" w:lineRule="exact"/>
        <w:ind w:firstLine="364" w:firstLineChars="152"/>
        <w:rPr>
          <w:rFonts w:ascii="楷体" w:hAnsi="楷体" w:eastAsia="楷体"/>
          <w:sz w:val="24"/>
          <w:szCs w:val="24"/>
        </w:rPr>
      </w:pPr>
      <w:r>
        <w:rPr>
          <w:rFonts w:hint="eastAsia" w:ascii="楷体" w:hAnsi="楷体" w:eastAsia="楷体"/>
          <w:sz w:val="24"/>
          <w:szCs w:val="24"/>
        </w:rPr>
        <w:t>如发生涉及甲方损失的保险事故，保险公司支付的赔款应当首先用于赔偿甲方的损失；如从保险公司获得的赔款不足以赔偿甲方的损失，差额部分由乙方赔偿予甲方。</w:t>
      </w:r>
    </w:p>
    <w:p w14:paraId="778692C2">
      <w:pPr>
        <w:keepNext w:val="0"/>
        <w:keepLines w:val="0"/>
        <w:pageBreakBefore w:val="0"/>
        <w:tabs>
          <w:tab w:val="left" w:pos="720"/>
        </w:tabs>
        <w:kinsoku/>
        <w:wordWrap/>
        <w:overflowPunct/>
        <w:topLinePunct w:val="0"/>
        <w:autoSpaceDE/>
        <w:bidi w:val="0"/>
        <w:snapToGrid/>
        <w:spacing w:line="380" w:lineRule="exact"/>
        <w:rPr>
          <w:rFonts w:ascii="楷体_GB2312" w:hAnsi="楷体_GB2312" w:eastAsia="楷体_GB2312" w:cs="楷体_GB2312"/>
          <w:b/>
          <w:sz w:val="24"/>
          <w:szCs w:val="24"/>
        </w:rPr>
      </w:pPr>
      <w:r>
        <w:rPr>
          <w:rFonts w:hint="eastAsia" w:ascii="楷体_GB2312" w:hAnsi="楷体_GB2312" w:eastAsia="楷体_GB2312" w:cs="楷体_GB2312"/>
          <w:b/>
          <w:sz w:val="24"/>
          <w:szCs w:val="24"/>
        </w:rPr>
        <w:t>第十四条 特别约定</w:t>
      </w:r>
    </w:p>
    <w:p w14:paraId="733A6E12">
      <w:pPr>
        <w:keepNext w:val="0"/>
        <w:keepLines w:val="0"/>
        <w:pageBreakBefore w:val="0"/>
        <w:tabs>
          <w:tab w:val="left" w:pos="720"/>
        </w:tabs>
        <w:kinsoku/>
        <w:wordWrap/>
        <w:overflowPunct/>
        <w:topLinePunct w:val="0"/>
        <w:autoSpaceDE/>
        <w:bidi w:val="0"/>
        <w:snapToGrid/>
        <w:spacing w:line="380" w:lineRule="exact"/>
        <w:ind w:firstLine="480" w:firstLineChars="200"/>
        <w:rPr>
          <w:rFonts w:ascii="楷体_GB2312" w:hAnsi="楷体_GB2312" w:eastAsia="楷体_GB2312" w:cs="楷体_GB2312"/>
          <w:sz w:val="24"/>
          <w:szCs w:val="24"/>
        </w:rPr>
      </w:pPr>
      <w:r>
        <w:rPr>
          <w:rFonts w:hint="eastAsia" w:ascii="楷体_GB2312" w:hAnsi="楷体_GB2312" w:eastAsia="楷体_GB2312" w:cs="楷体_GB2312"/>
          <w:b w:val="0"/>
          <w:bCs/>
          <w:sz w:val="24"/>
          <w:szCs w:val="24"/>
        </w:rPr>
        <w:t>（一）乙</w:t>
      </w:r>
      <w:r>
        <w:rPr>
          <w:rFonts w:hint="eastAsia" w:ascii="楷体_GB2312" w:hAnsi="楷体_GB2312" w:eastAsia="楷体_GB2312" w:cs="楷体_GB2312"/>
          <w:sz w:val="24"/>
          <w:szCs w:val="24"/>
        </w:rPr>
        <w:t>方知悉租赁物业属于农村集体资产，物业出租、续租等须接受农村集体资产的相关规定。</w:t>
      </w:r>
    </w:p>
    <w:p w14:paraId="78660505">
      <w:pPr>
        <w:keepNext w:val="0"/>
        <w:keepLines w:val="0"/>
        <w:pageBreakBefore w:val="0"/>
        <w:tabs>
          <w:tab w:val="left" w:pos="720"/>
        </w:tabs>
        <w:kinsoku/>
        <w:wordWrap/>
        <w:overflowPunct/>
        <w:topLinePunct w:val="0"/>
        <w:autoSpaceDE/>
        <w:bidi w:val="0"/>
        <w:snapToGrid/>
        <w:spacing w:line="380" w:lineRule="exact"/>
        <w:ind w:firstLine="480" w:firstLineChars="200"/>
        <w:rPr>
          <w:rFonts w:hint="eastAsia" w:ascii="楷体" w:hAnsi="楷体" w:eastAsia="楷体"/>
          <w:sz w:val="24"/>
          <w:szCs w:val="24"/>
        </w:rPr>
      </w:pPr>
      <w:r>
        <w:rPr>
          <w:rFonts w:hint="eastAsia" w:ascii="楷体" w:hAnsi="楷体" w:eastAsia="楷体"/>
          <w:sz w:val="24"/>
          <w:szCs w:val="24"/>
        </w:rPr>
        <w:t>（二）甲方了解到乙方违约而又接受租金</w:t>
      </w:r>
      <w:r>
        <w:rPr>
          <w:rFonts w:hint="eastAsia" w:ascii="楷体" w:hAnsi="楷体" w:eastAsia="楷体"/>
          <w:sz w:val="24"/>
          <w:szCs w:val="24"/>
          <w:lang w:val="en-US" w:eastAsia="zh-CN"/>
        </w:rPr>
        <w:t>时</w:t>
      </w:r>
      <w:r>
        <w:rPr>
          <w:rFonts w:hint="eastAsia" w:ascii="楷体" w:hAnsi="楷体" w:eastAsia="楷体"/>
          <w:sz w:val="24"/>
          <w:szCs w:val="24"/>
        </w:rPr>
        <w:t>，不能视为甲方同意乙方的行为及放弃追究乙方违约责任的权利。乙方交付的租金或其他款项不足本合同之规定金额时，或甲方接受金额不足的租金或其他款项，均不能视为甲方同意乙方少付租金或其他款项以及</w:t>
      </w:r>
      <w:r>
        <w:rPr>
          <w:rFonts w:ascii="楷体" w:hAnsi="楷体" w:eastAsia="楷体"/>
          <w:sz w:val="24"/>
          <w:szCs w:val="24"/>
        </w:rPr>
        <w:t>同意乙方的行为</w:t>
      </w:r>
      <w:r>
        <w:rPr>
          <w:rFonts w:hint="eastAsia" w:ascii="楷体" w:hAnsi="楷体" w:eastAsia="楷体"/>
          <w:sz w:val="24"/>
          <w:szCs w:val="24"/>
        </w:rPr>
        <w:t>，也不影响甲方追索欠租欠款的权利以及根据本合同及法律规定的其他权利。此外，甲方未能或延迟行使本合同项下的任何权利将不意味放弃该等权利。甲方的任何权利的放弃均以甲方盖章的书面明确表示为准。</w:t>
      </w:r>
    </w:p>
    <w:p w14:paraId="4A53E2B0">
      <w:pPr>
        <w:keepNext w:val="0"/>
        <w:keepLines w:val="0"/>
        <w:pageBreakBefore w:val="0"/>
        <w:tabs>
          <w:tab w:val="left" w:pos="532"/>
        </w:tabs>
        <w:kinsoku/>
        <w:wordWrap/>
        <w:overflowPunct/>
        <w:topLinePunct w:val="0"/>
        <w:autoSpaceDE/>
        <w:bidi w:val="0"/>
        <w:snapToGrid/>
        <w:spacing w:line="380" w:lineRule="exact"/>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 xml:space="preserve">第十五条 </w:t>
      </w:r>
      <w:r>
        <w:rPr>
          <w:rFonts w:ascii="楷体_GB2312" w:hAnsi="楷体_GB2312" w:eastAsia="楷体_GB2312" w:cs="楷体_GB2312"/>
          <w:b/>
          <w:bCs/>
          <w:sz w:val="24"/>
          <w:szCs w:val="24"/>
        </w:rPr>
        <w:t xml:space="preserve"> </w:t>
      </w:r>
      <w:r>
        <w:rPr>
          <w:rFonts w:hint="eastAsia" w:ascii="楷体_GB2312" w:hAnsi="楷体_GB2312" w:eastAsia="楷体_GB2312" w:cs="楷体_GB2312"/>
          <w:b/>
          <w:bCs/>
          <w:sz w:val="24"/>
          <w:szCs w:val="24"/>
        </w:rPr>
        <w:t>其他</w:t>
      </w:r>
    </w:p>
    <w:p w14:paraId="1184646D">
      <w:pPr>
        <w:keepNext w:val="0"/>
        <w:keepLines w:val="0"/>
        <w:pageBreakBefore w:val="0"/>
        <w:tabs>
          <w:tab w:val="left" w:pos="540"/>
        </w:tabs>
        <w:kinsoku/>
        <w:wordWrap/>
        <w:overflowPunct/>
        <w:topLinePunct w:val="0"/>
        <w:autoSpaceDE/>
        <w:bidi w:val="0"/>
        <w:snapToGrid/>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b/>
          <w:bCs/>
          <w:sz w:val="24"/>
          <w:szCs w:val="24"/>
        </w:rPr>
        <w:tab/>
      </w:r>
      <w:r>
        <w:rPr>
          <w:rFonts w:hint="eastAsia" w:ascii="楷体_GB2312" w:hAnsi="楷体_GB2312" w:eastAsia="楷体_GB2312" w:cs="楷体_GB2312"/>
          <w:sz w:val="24"/>
          <w:szCs w:val="24"/>
        </w:rPr>
        <w:t>1、本合同的附件为本合同不可分割的一部分，具有同等法律效力。</w:t>
      </w:r>
    </w:p>
    <w:p w14:paraId="3D825304">
      <w:pPr>
        <w:keepNext w:val="0"/>
        <w:keepLines w:val="0"/>
        <w:pageBreakBefore w:val="0"/>
        <w:tabs>
          <w:tab w:val="left" w:pos="532"/>
        </w:tabs>
        <w:kinsoku/>
        <w:wordWrap/>
        <w:overflowPunct/>
        <w:topLinePunct w:val="0"/>
        <w:autoSpaceDE/>
        <w:bidi w:val="0"/>
        <w:snapToGrid/>
        <w:spacing w:line="380" w:lineRule="exact"/>
        <w:ind w:left="14"/>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2、双方可对本合同的条款进行修订更改或补充，以书面签订补充协议，补充协议与本合同具有同等效力。本合同及其附件或补充协议中未规定的事项，均遵照中华人民共和国有关法律、法规和政策执行。</w:t>
      </w:r>
    </w:p>
    <w:p w14:paraId="1653CC62">
      <w:pPr>
        <w:keepNext w:val="0"/>
        <w:keepLines w:val="0"/>
        <w:pageBreakBefore w:val="0"/>
        <w:tabs>
          <w:tab w:val="left" w:pos="532"/>
        </w:tabs>
        <w:kinsoku/>
        <w:wordWrap/>
        <w:overflowPunct/>
        <w:topLinePunct w:val="0"/>
        <w:autoSpaceDE/>
        <w:bidi w:val="0"/>
        <w:snapToGrid/>
        <w:spacing w:line="380" w:lineRule="exact"/>
        <w:ind w:left="14"/>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t>3、本合同内，空格部分填写的文字与印刷文字具有同等效力。</w:t>
      </w:r>
    </w:p>
    <w:p w14:paraId="45AD4CC1">
      <w:pPr>
        <w:keepNext w:val="0"/>
        <w:keepLines w:val="0"/>
        <w:pageBreakBefore w:val="0"/>
        <w:tabs>
          <w:tab w:val="left" w:pos="532"/>
        </w:tabs>
        <w:kinsoku/>
        <w:wordWrap/>
        <w:overflowPunct/>
        <w:topLinePunct w:val="0"/>
        <w:autoSpaceDE/>
        <w:bidi w:val="0"/>
        <w:snapToGrid/>
        <w:spacing w:line="380" w:lineRule="exact"/>
        <w:ind w:left="14"/>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t>4、本合同在同时全部满足以下条件后方可生效，缺一不可，否则视为未生效：</w:t>
      </w:r>
    </w:p>
    <w:p w14:paraId="23A3F488">
      <w:pPr>
        <w:keepNext w:val="0"/>
        <w:keepLines w:val="0"/>
        <w:pageBreakBefore w:val="0"/>
        <w:tabs>
          <w:tab w:val="left" w:pos="532"/>
        </w:tabs>
        <w:kinsoku/>
        <w:wordWrap/>
        <w:overflowPunct/>
        <w:topLinePunct w:val="0"/>
        <w:autoSpaceDE/>
        <w:bidi w:val="0"/>
        <w:snapToGrid/>
        <w:spacing w:line="380" w:lineRule="exact"/>
        <w:ind w:left="14"/>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（1）本合同内容已按照天河区农村集体资产管理相关规定进行民主表决通过并已公示完毕；</w:t>
      </w:r>
    </w:p>
    <w:p w14:paraId="4535CCD1">
      <w:pPr>
        <w:keepNext w:val="0"/>
        <w:keepLines w:val="0"/>
        <w:pageBreakBefore w:val="0"/>
        <w:tabs>
          <w:tab w:val="left" w:pos="532"/>
        </w:tabs>
        <w:kinsoku/>
        <w:wordWrap/>
        <w:overflowPunct/>
        <w:topLinePunct w:val="0"/>
        <w:autoSpaceDE/>
        <w:bidi w:val="0"/>
        <w:snapToGrid/>
        <w:spacing w:line="380" w:lineRule="exact"/>
        <w:ind w:left="14"/>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（2）乙方足额交纳履约保证金；</w:t>
      </w:r>
    </w:p>
    <w:p w14:paraId="478E8813">
      <w:pPr>
        <w:keepNext w:val="0"/>
        <w:keepLines w:val="0"/>
        <w:pageBreakBefore w:val="0"/>
        <w:tabs>
          <w:tab w:val="left" w:pos="532"/>
        </w:tabs>
        <w:kinsoku/>
        <w:wordWrap/>
        <w:overflowPunct/>
        <w:topLinePunct w:val="0"/>
        <w:autoSpaceDE/>
        <w:bidi w:val="0"/>
        <w:snapToGrid/>
        <w:spacing w:line="380" w:lineRule="exact"/>
        <w:ind w:left="14"/>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（3）经甲乙双方签字及盖章。</w:t>
      </w:r>
    </w:p>
    <w:p w14:paraId="1304144F">
      <w:pPr>
        <w:keepNext w:val="0"/>
        <w:keepLines w:val="0"/>
        <w:pageBreakBefore w:val="0"/>
        <w:tabs>
          <w:tab w:val="left" w:pos="532"/>
        </w:tabs>
        <w:kinsoku/>
        <w:wordWrap/>
        <w:overflowPunct/>
        <w:topLinePunct w:val="0"/>
        <w:autoSpaceDE/>
        <w:bidi w:val="0"/>
        <w:snapToGrid/>
        <w:spacing w:line="3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t>5、乙方不能按时缴纳租金，视为无履约能力，乙方愿放弃一切抗辩权利，愿意直接接受有管辖权的人民法院强制执行。</w:t>
      </w:r>
    </w:p>
    <w:p w14:paraId="3A62C291">
      <w:pPr>
        <w:pStyle w:val="17"/>
        <w:keepNext w:val="0"/>
        <w:keepLines w:val="0"/>
        <w:pageBreakBefore w:val="0"/>
        <w:kinsoku/>
        <w:wordWrap/>
        <w:overflowPunct/>
        <w:topLinePunct w:val="0"/>
        <w:autoSpaceDE/>
        <w:bidi w:val="0"/>
        <w:snapToGrid/>
        <w:spacing w:line="380" w:lineRule="exact"/>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6、本合同正本贰份，甲乙双方各执壹份；副本</w:t>
      </w:r>
      <w:r>
        <w:rPr>
          <w:rFonts w:hint="eastAsia" w:ascii="楷体_GB2312" w:hAnsi="楷体_GB2312" w:eastAsia="楷体_GB2312" w:cs="楷体_GB2312"/>
          <w:sz w:val="24"/>
          <w:szCs w:val="24"/>
          <w:u w:val="single"/>
          <w:lang w:val="en-US" w:eastAsia="zh-CN"/>
        </w:rPr>
        <w:t>肆</w:t>
      </w:r>
      <w:r>
        <w:rPr>
          <w:rFonts w:hint="eastAsia" w:ascii="楷体_GB2312" w:hAnsi="楷体_GB2312" w:eastAsia="楷体_GB2312" w:cs="楷体_GB2312"/>
          <w:sz w:val="24"/>
          <w:szCs w:val="24"/>
        </w:rPr>
        <w:t>份，甲方执</w:t>
      </w:r>
      <w:r>
        <w:rPr>
          <w:rFonts w:hint="eastAsia" w:ascii="楷体_GB2312" w:hAnsi="楷体_GB2312" w:eastAsia="楷体_GB2312" w:cs="楷体_GB2312"/>
          <w:sz w:val="24"/>
          <w:szCs w:val="24"/>
          <w:lang w:val="en-US" w:eastAsia="zh-CN"/>
        </w:rPr>
        <w:t>贰</w:t>
      </w:r>
      <w:r>
        <w:rPr>
          <w:rFonts w:hint="eastAsia" w:ascii="楷体_GB2312" w:hAnsi="楷体_GB2312" w:eastAsia="楷体_GB2312" w:cs="楷体_GB2312"/>
          <w:sz w:val="24"/>
          <w:szCs w:val="24"/>
        </w:rPr>
        <w:t>份、乙方执</w:t>
      </w:r>
      <w:r>
        <w:rPr>
          <w:rFonts w:hint="eastAsia" w:ascii="楷体_GB2312" w:hAnsi="楷体_GB2312" w:eastAsia="楷体_GB2312" w:cs="楷体_GB2312"/>
          <w:sz w:val="24"/>
          <w:szCs w:val="24"/>
          <w:u w:val="single"/>
          <w:lang w:val="en-US" w:eastAsia="zh-CN"/>
        </w:rPr>
        <w:t>壹</w:t>
      </w:r>
      <w:r>
        <w:rPr>
          <w:rFonts w:hint="eastAsia" w:ascii="楷体_GB2312" w:hAnsi="楷体_GB2312" w:eastAsia="楷体_GB2312" w:cs="楷体_GB2312"/>
          <w:sz w:val="24"/>
          <w:szCs w:val="24"/>
        </w:rPr>
        <w:t>份，</w:t>
      </w:r>
      <w:r>
        <w:rPr>
          <w:rFonts w:hint="eastAsia" w:ascii="楷体_GB2312" w:hAnsi="楷体_GB2312" w:eastAsia="楷体_GB2312" w:cs="楷体_GB2312"/>
          <w:sz w:val="24"/>
          <w:szCs w:val="24"/>
          <w:lang w:val="en-US" w:eastAsia="zh-CN"/>
        </w:rPr>
        <w:t>广州市天河区农村集体资产交易中心执壹份，</w:t>
      </w:r>
      <w:r>
        <w:rPr>
          <w:rFonts w:hint="eastAsia" w:ascii="楷体_GB2312" w:hAnsi="楷体_GB2312" w:eastAsia="楷体_GB2312" w:cs="楷体_GB2312"/>
          <w:sz w:val="24"/>
          <w:szCs w:val="24"/>
        </w:rPr>
        <w:t>有同等法律效力。</w:t>
      </w:r>
    </w:p>
    <w:p w14:paraId="150F051C">
      <w:pPr>
        <w:pStyle w:val="17"/>
        <w:keepNext w:val="0"/>
        <w:keepLines w:val="0"/>
        <w:pageBreakBefore w:val="0"/>
        <w:kinsoku/>
        <w:wordWrap/>
        <w:overflowPunct/>
        <w:topLinePunct w:val="0"/>
        <w:autoSpaceDE/>
        <w:bidi w:val="0"/>
        <w:snapToGrid/>
        <w:spacing w:line="380" w:lineRule="exact"/>
        <w:rPr>
          <w:rFonts w:hint="eastAsia" w:ascii="楷体_GB2312" w:hAnsi="楷体_GB2312" w:eastAsia="楷体_GB2312" w:cs="楷体_GB2312"/>
          <w:sz w:val="24"/>
          <w:szCs w:val="24"/>
          <w:lang w:eastAsia="zh-CN"/>
        </w:rPr>
      </w:pPr>
    </w:p>
    <w:p w14:paraId="76C0B28D">
      <w:pPr>
        <w:pStyle w:val="17"/>
        <w:keepNext w:val="0"/>
        <w:keepLines w:val="0"/>
        <w:pageBreakBefore w:val="0"/>
        <w:kinsoku/>
        <w:wordWrap/>
        <w:overflowPunct/>
        <w:topLinePunct w:val="0"/>
        <w:autoSpaceDE/>
        <w:bidi w:val="0"/>
        <w:snapToGrid/>
        <w:spacing w:line="380" w:lineRule="exact"/>
        <w:rPr>
          <w:rFonts w:hint="eastAsia" w:ascii="楷体_GB2312" w:hAnsi="楷体_GB2312" w:eastAsia="楷体_GB2312" w:cs="楷体_GB2312"/>
          <w:sz w:val="24"/>
          <w:szCs w:val="24"/>
          <w:lang w:eastAsia="zh-CN"/>
        </w:rPr>
      </w:pPr>
    </w:p>
    <w:p w14:paraId="01073DE8">
      <w:pPr>
        <w:pStyle w:val="17"/>
        <w:keepNext w:val="0"/>
        <w:keepLines w:val="0"/>
        <w:pageBreakBefore w:val="0"/>
        <w:kinsoku/>
        <w:wordWrap/>
        <w:overflowPunct/>
        <w:topLinePunct w:val="0"/>
        <w:autoSpaceDE/>
        <w:bidi w:val="0"/>
        <w:snapToGrid/>
        <w:spacing w:line="380" w:lineRule="exact"/>
        <w:rPr>
          <w:rFonts w:hint="eastAsia" w:ascii="楷体_GB2312" w:hAnsi="楷体_GB2312" w:eastAsia="楷体_GB2312" w:cs="楷体_GB2312"/>
          <w:sz w:val="24"/>
          <w:szCs w:val="24"/>
          <w:lang w:eastAsia="zh-CN"/>
        </w:rPr>
      </w:pPr>
    </w:p>
    <w:p w14:paraId="4A6CDB0E">
      <w:pPr>
        <w:pStyle w:val="17"/>
        <w:keepNext w:val="0"/>
        <w:keepLines w:val="0"/>
        <w:pageBreakBefore w:val="0"/>
        <w:kinsoku/>
        <w:wordWrap/>
        <w:overflowPunct/>
        <w:topLinePunct w:val="0"/>
        <w:autoSpaceDE/>
        <w:bidi w:val="0"/>
        <w:snapToGrid/>
        <w:spacing w:line="380" w:lineRule="exact"/>
        <w:rPr>
          <w:rFonts w:hint="eastAsia" w:ascii="楷体_GB2312" w:hAnsi="楷体_GB2312" w:eastAsia="楷体_GB2312" w:cs="楷体_GB2312"/>
          <w:sz w:val="24"/>
          <w:szCs w:val="24"/>
          <w:lang w:eastAsia="zh-CN"/>
        </w:rPr>
      </w:pPr>
    </w:p>
    <w:p w14:paraId="6F81F8C9">
      <w:pPr>
        <w:pStyle w:val="17"/>
        <w:keepNext w:val="0"/>
        <w:keepLines w:val="0"/>
        <w:pageBreakBefore w:val="0"/>
        <w:kinsoku/>
        <w:wordWrap/>
        <w:overflowPunct/>
        <w:topLinePunct w:val="0"/>
        <w:autoSpaceDE/>
        <w:bidi w:val="0"/>
        <w:snapToGrid/>
        <w:spacing w:line="380" w:lineRule="exact"/>
        <w:rPr>
          <w:rFonts w:hint="eastAsia" w:ascii="楷体_GB2312" w:hAnsi="楷体_GB2312" w:eastAsia="楷体_GB2312" w:cs="楷体_GB2312"/>
          <w:sz w:val="24"/>
          <w:szCs w:val="24"/>
          <w:lang w:eastAsia="zh-CN"/>
        </w:rPr>
      </w:pPr>
    </w:p>
    <w:p w14:paraId="31C3E0D8">
      <w:pPr>
        <w:pStyle w:val="17"/>
        <w:keepNext w:val="0"/>
        <w:keepLines w:val="0"/>
        <w:pageBreakBefore w:val="0"/>
        <w:kinsoku/>
        <w:wordWrap/>
        <w:overflowPunct/>
        <w:topLinePunct w:val="0"/>
        <w:autoSpaceDE/>
        <w:bidi w:val="0"/>
        <w:snapToGrid/>
        <w:spacing w:line="380" w:lineRule="exact"/>
        <w:rPr>
          <w:rFonts w:hint="eastAsia" w:ascii="楷体_GB2312" w:hAnsi="楷体_GB2312" w:eastAsia="楷体_GB2312" w:cs="楷体_GB2312"/>
          <w:sz w:val="24"/>
          <w:szCs w:val="24"/>
          <w:lang w:eastAsia="zh-CN"/>
        </w:rPr>
      </w:pPr>
    </w:p>
    <w:p w14:paraId="3E282660">
      <w:pPr>
        <w:pStyle w:val="17"/>
        <w:keepNext w:val="0"/>
        <w:keepLines w:val="0"/>
        <w:pageBreakBefore w:val="0"/>
        <w:kinsoku/>
        <w:wordWrap/>
        <w:overflowPunct/>
        <w:topLinePunct w:val="0"/>
        <w:autoSpaceDE/>
        <w:bidi w:val="0"/>
        <w:snapToGrid/>
        <w:spacing w:line="380" w:lineRule="exact"/>
        <w:rPr>
          <w:rFonts w:hint="eastAsia" w:ascii="楷体_GB2312" w:hAnsi="楷体_GB2312" w:eastAsia="楷体_GB2312" w:cs="楷体_GB2312"/>
          <w:sz w:val="24"/>
          <w:szCs w:val="24"/>
          <w:lang w:eastAsia="zh-CN"/>
        </w:rPr>
      </w:pPr>
    </w:p>
    <w:p w14:paraId="1FA3356E">
      <w:pPr>
        <w:pStyle w:val="17"/>
        <w:keepNext w:val="0"/>
        <w:keepLines w:val="0"/>
        <w:pageBreakBefore w:val="0"/>
        <w:kinsoku/>
        <w:wordWrap/>
        <w:overflowPunct/>
        <w:topLinePunct w:val="0"/>
        <w:autoSpaceDE/>
        <w:bidi w:val="0"/>
        <w:snapToGrid/>
        <w:spacing w:line="380" w:lineRule="exact"/>
        <w:rPr>
          <w:rFonts w:hint="eastAsia" w:ascii="楷体_GB2312" w:hAnsi="楷体_GB2312" w:eastAsia="楷体_GB2312" w:cs="楷体_GB2312"/>
          <w:sz w:val="24"/>
          <w:szCs w:val="24"/>
          <w:lang w:eastAsia="zh-CN"/>
        </w:rPr>
      </w:pPr>
    </w:p>
    <w:p w14:paraId="1D1D6906">
      <w:pPr>
        <w:pStyle w:val="17"/>
        <w:keepNext w:val="0"/>
        <w:keepLines w:val="0"/>
        <w:pageBreakBefore w:val="0"/>
        <w:kinsoku/>
        <w:wordWrap/>
        <w:overflowPunct/>
        <w:topLinePunct w:val="0"/>
        <w:autoSpaceDE/>
        <w:bidi w:val="0"/>
        <w:snapToGrid/>
        <w:spacing w:line="380" w:lineRule="exact"/>
        <w:rPr>
          <w:rFonts w:hint="eastAsia" w:ascii="楷体_GB2312" w:hAnsi="楷体_GB2312" w:eastAsia="楷体_GB2312" w:cs="楷体_GB2312"/>
          <w:sz w:val="24"/>
          <w:szCs w:val="24"/>
          <w:lang w:eastAsia="zh-CN"/>
        </w:rPr>
      </w:pPr>
    </w:p>
    <w:p w14:paraId="061A9254">
      <w:pPr>
        <w:pStyle w:val="17"/>
        <w:keepNext w:val="0"/>
        <w:keepLines w:val="0"/>
        <w:pageBreakBefore w:val="0"/>
        <w:kinsoku/>
        <w:wordWrap/>
        <w:overflowPunct/>
        <w:topLinePunct w:val="0"/>
        <w:autoSpaceDE/>
        <w:bidi w:val="0"/>
        <w:snapToGrid/>
        <w:spacing w:line="380" w:lineRule="exact"/>
        <w:rPr>
          <w:rFonts w:hint="eastAsia" w:ascii="楷体_GB2312" w:hAnsi="楷体_GB2312" w:eastAsia="楷体_GB2312" w:cs="楷体_GB2312"/>
          <w:sz w:val="24"/>
          <w:szCs w:val="24"/>
          <w:lang w:eastAsia="zh-CN"/>
        </w:rPr>
      </w:pPr>
    </w:p>
    <w:p w14:paraId="7C1FFBBC">
      <w:pPr>
        <w:pStyle w:val="17"/>
        <w:keepNext w:val="0"/>
        <w:keepLines w:val="0"/>
        <w:pageBreakBefore w:val="0"/>
        <w:kinsoku/>
        <w:wordWrap/>
        <w:overflowPunct/>
        <w:topLinePunct w:val="0"/>
        <w:autoSpaceDE/>
        <w:bidi w:val="0"/>
        <w:snapToGrid/>
        <w:spacing w:line="380" w:lineRule="exact"/>
        <w:rPr>
          <w:rFonts w:hint="eastAsia" w:ascii="楷体_GB2312" w:hAnsi="楷体_GB2312" w:eastAsia="楷体_GB2312" w:cs="楷体_GB2312"/>
          <w:sz w:val="24"/>
          <w:szCs w:val="24"/>
          <w:lang w:eastAsia="zh-CN"/>
        </w:rPr>
      </w:pPr>
    </w:p>
    <w:p w14:paraId="00FB9982">
      <w:pPr>
        <w:pStyle w:val="17"/>
        <w:keepNext w:val="0"/>
        <w:keepLines w:val="0"/>
        <w:pageBreakBefore w:val="0"/>
        <w:kinsoku/>
        <w:wordWrap/>
        <w:overflowPunct/>
        <w:topLinePunct w:val="0"/>
        <w:autoSpaceDE/>
        <w:bidi w:val="0"/>
        <w:snapToGrid/>
        <w:spacing w:line="380" w:lineRule="exact"/>
        <w:rPr>
          <w:rFonts w:hint="eastAsia" w:ascii="楷体_GB2312" w:hAnsi="楷体_GB2312" w:eastAsia="楷体_GB2312" w:cs="楷体_GB2312"/>
          <w:sz w:val="24"/>
          <w:szCs w:val="24"/>
          <w:lang w:eastAsia="zh-CN"/>
        </w:rPr>
      </w:pPr>
    </w:p>
    <w:p w14:paraId="06F2E575">
      <w:pPr>
        <w:pStyle w:val="17"/>
        <w:keepNext w:val="0"/>
        <w:keepLines w:val="0"/>
        <w:pageBreakBefore w:val="0"/>
        <w:kinsoku/>
        <w:wordWrap/>
        <w:overflowPunct/>
        <w:topLinePunct w:val="0"/>
        <w:autoSpaceDE/>
        <w:bidi w:val="0"/>
        <w:snapToGrid/>
        <w:spacing w:line="380" w:lineRule="exact"/>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lang w:val="en-US" w:eastAsia="zh-CN"/>
        </w:rPr>
        <w:t>此页为签署页）</w:t>
      </w:r>
      <w:r>
        <w:rPr>
          <w:rFonts w:hint="eastAsia" w:ascii="楷体_GB2312" w:hAnsi="楷体_GB2312" w:eastAsia="楷体_GB2312" w:cs="楷体_GB2312"/>
          <w:sz w:val="24"/>
          <w:szCs w:val="24"/>
        </w:rPr>
        <w:t xml:space="preserve">    </w:t>
      </w:r>
    </w:p>
    <w:tbl>
      <w:tblPr>
        <w:tblStyle w:val="7"/>
        <w:tblW w:w="0" w:type="dxa"/>
        <w:tblInd w:w="113" w:type="dxa"/>
        <w:tblLayout w:type="fixed"/>
        <w:tblCellMar>
          <w:top w:w="0" w:type="dxa"/>
          <w:left w:w="108" w:type="dxa"/>
          <w:bottom w:w="0" w:type="dxa"/>
          <w:right w:w="108" w:type="dxa"/>
        </w:tblCellMar>
      </w:tblPr>
      <w:tblGrid>
        <w:gridCol w:w="5039"/>
        <w:gridCol w:w="4810"/>
      </w:tblGrid>
      <w:tr w14:paraId="1F7CD34D">
        <w:tblPrEx>
          <w:tblCellMar>
            <w:top w:w="0" w:type="dxa"/>
            <w:left w:w="108" w:type="dxa"/>
            <w:bottom w:w="0" w:type="dxa"/>
            <w:right w:w="108" w:type="dxa"/>
          </w:tblCellMar>
        </w:tblPrEx>
        <w:trPr>
          <w:trHeight w:val="419" w:hRule="atLeast"/>
        </w:trPr>
        <w:tc>
          <w:tcPr>
            <w:tcW w:w="9849" w:type="dxa"/>
            <w:gridSpan w:val="2"/>
            <w:tcBorders>
              <w:top w:val="single" w:color="000000" w:sz="4" w:space="0"/>
              <w:left w:val="single" w:color="000000" w:sz="4" w:space="0"/>
              <w:bottom w:val="single" w:color="000000" w:sz="4" w:space="0"/>
              <w:right w:val="single" w:color="000000" w:sz="4" w:space="0"/>
            </w:tcBorders>
            <w:noWrap w:val="0"/>
            <w:vAlign w:val="center"/>
          </w:tcPr>
          <w:p w14:paraId="32DEA231">
            <w:pPr>
              <w:keepNext w:val="0"/>
              <w:keepLines w:val="0"/>
              <w:pageBreakBefore w:val="0"/>
              <w:widowControl/>
              <w:kinsoku/>
              <w:wordWrap/>
              <w:overflowPunct/>
              <w:topLinePunct w:val="0"/>
              <w:autoSpaceDE/>
              <w:bidi w:val="0"/>
              <w:snapToGrid/>
              <w:spacing w:line="380" w:lineRule="exact"/>
              <w:jc w:val="center"/>
              <w:rPr>
                <w:rFonts w:ascii="楷体_GB2312" w:hAnsi="楷体_GB2312" w:eastAsia="楷体_GB2312"/>
                <w:b/>
                <w:bCs/>
                <w:kern w:val="0"/>
                <w:sz w:val="24"/>
                <w:szCs w:val="24"/>
              </w:rPr>
            </w:pPr>
            <w:r>
              <w:rPr>
                <w:rFonts w:hint="eastAsia" w:ascii="楷体_GB2312" w:hAnsi="楷体_GB2312" w:eastAsia="楷体_GB2312"/>
                <w:b/>
                <w:bCs/>
                <w:kern w:val="0"/>
                <w:sz w:val="24"/>
                <w:szCs w:val="24"/>
              </w:rPr>
              <w:t>合同签署人</w:t>
            </w:r>
          </w:p>
        </w:tc>
      </w:tr>
      <w:tr w14:paraId="06FFC66C">
        <w:tblPrEx>
          <w:tblCellMar>
            <w:top w:w="0" w:type="dxa"/>
            <w:left w:w="108" w:type="dxa"/>
            <w:bottom w:w="0" w:type="dxa"/>
            <w:right w:w="108" w:type="dxa"/>
          </w:tblCellMar>
        </w:tblPrEx>
        <w:trPr>
          <w:trHeight w:val="374" w:hRule="atLeast"/>
        </w:trPr>
        <w:tc>
          <w:tcPr>
            <w:tcW w:w="5039" w:type="dxa"/>
            <w:tcBorders>
              <w:top w:val="single" w:color="000000" w:sz="4" w:space="0"/>
              <w:left w:val="single" w:color="000000" w:sz="4" w:space="0"/>
              <w:bottom w:val="single" w:color="000000" w:sz="4" w:space="0"/>
              <w:right w:val="single" w:color="000000" w:sz="4" w:space="0"/>
            </w:tcBorders>
            <w:noWrap w:val="0"/>
            <w:vAlign w:val="center"/>
          </w:tcPr>
          <w:p w14:paraId="54C7F946">
            <w:pPr>
              <w:keepNext w:val="0"/>
              <w:keepLines w:val="0"/>
              <w:pageBreakBefore w:val="0"/>
              <w:widowControl/>
              <w:kinsoku/>
              <w:wordWrap/>
              <w:overflowPunct/>
              <w:topLinePunct w:val="0"/>
              <w:autoSpaceDE/>
              <w:bidi w:val="0"/>
              <w:snapToGrid/>
              <w:spacing w:line="380" w:lineRule="exact"/>
              <w:jc w:val="center"/>
              <w:rPr>
                <w:rFonts w:hint="eastAsia" w:ascii="楷体_GB2312" w:hAnsi="楷体_GB2312" w:eastAsia="楷体_GB2312"/>
                <w:kern w:val="0"/>
                <w:sz w:val="24"/>
                <w:szCs w:val="24"/>
              </w:rPr>
            </w:pPr>
            <w:r>
              <w:rPr>
                <w:rFonts w:hint="eastAsia" w:ascii="楷体_GB2312" w:hAnsi="楷体_GB2312" w:eastAsia="楷体_GB2312"/>
                <w:kern w:val="0"/>
                <w:sz w:val="24"/>
                <w:szCs w:val="24"/>
              </w:rPr>
              <w:t>甲方</w:t>
            </w:r>
          </w:p>
        </w:tc>
        <w:tc>
          <w:tcPr>
            <w:tcW w:w="4810" w:type="dxa"/>
            <w:tcBorders>
              <w:top w:val="single" w:color="000000" w:sz="4" w:space="0"/>
              <w:left w:val="nil"/>
              <w:bottom w:val="single" w:color="000000" w:sz="4" w:space="0"/>
              <w:right w:val="single" w:color="000000" w:sz="4" w:space="0"/>
            </w:tcBorders>
            <w:noWrap w:val="0"/>
            <w:vAlign w:val="center"/>
          </w:tcPr>
          <w:p w14:paraId="6575B2B5">
            <w:pPr>
              <w:keepNext w:val="0"/>
              <w:keepLines w:val="0"/>
              <w:pageBreakBefore w:val="0"/>
              <w:widowControl/>
              <w:kinsoku/>
              <w:wordWrap/>
              <w:overflowPunct/>
              <w:topLinePunct w:val="0"/>
              <w:autoSpaceDE/>
              <w:bidi w:val="0"/>
              <w:snapToGrid/>
              <w:spacing w:line="380" w:lineRule="exact"/>
              <w:jc w:val="center"/>
              <w:rPr>
                <w:rFonts w:hint="eastAsia" w:ascii="楷体_GB2312" w:hAnsi="楷体_GB2312" w:eastAsia="楷体_GB2312"/>
                <w:kern w:val="0"/>
                <w:sz w:val="24"/>
                <w:szCs w:val="24"/>
              </w:rPr>
            </w:pPr>
            <w:r>
              <w:rPr>
                <w:rFonts w:hint="eastAsia" w:ascii="楷体_GB2312" w:hAnsi="楷体_GB2312" w:eastAsia="楷体_GB2312"/>
                <w:kern w:val="0"/>
                <w:sz w:val="24"/>
                <w:szCs w:val="24"/>
              </w:rPr>
              <w:t>乙方</w:t>
            </w:r>
          </w:p>
        </w:tc>
      </w:tr>
      <w:tr w14:paraId="54323B4E">
        <w:tblPrEx>
          <w:tblCellMar>
            <w:top w:w="0" w:type="dxa"/>
            <w:left w:w="108" w:type="dxa"/>
            <w:bottom w:w="0" w:type="dxa"/>
            <w:right w:w="108" w:type="dxa"/>
          </w:tblCellMar>
        </w:tblPrEx>
        <w:trPr>
          <w:trHeight w:val="472" w:hRule="atLeast"/>
        </w:trPr>
        <w:tc>
          <w:tcPr>
            <w:tcW w:w="5039" w:type="dxa"/>
            <w:tcBorders>
              <w:top w:val="single" w:color="000000" w:sz="4" w:space="0"/>
              <w:left w:val="single" w:color="000000" w:sz="4" w:space="0"/>
              <w:bottom w:val="single" w:color="000000" w:sz="4" w:space="0"/>
              <w:right w:val="single" w:color="000000" w:sz="4" w:space="0"/>
            </w:tcBorders>
            <w:noWrap w:val="0"/>
            <w:vAlign w:val="center"/>
          </w:tcPr>
          <w:p w14:paraId="56DE2D19">
            <w:pPr>
              <w:keepNext w:val="0"/>
              <w:keepLines w:val="0"/>
              <w:pageBreakBefore w:val="0"/>
              <w:widowControl/>
              <w:kinsoku/>
              <w:wordWrap/>
              <w:overflowPunct/>
              <w:topLinePunct w:val="0"/>
              <w:autoSpaceDE/>
              <w:bidi w:val="0"/>
              <w:snapToGrid/>
              <w:spacing w:line="380" w:lineRule="exact"/>
              <w:rPr>
                <w:rFonts w:hint="eastAsia" w:ascii="楷体_GB2312" w:hAnsi="楷体_GB2312" w:eastAsia="楷体_GB2312"/>
                <w:kern w:val="0"/>
                <w:sz w:val="24"/>
                <w:szCs w:val="24"/>
              </w:rPr>
            </w:pPr>
            <w:r>
              <w:rPr>
                <w:rFonts w:hint="eastAsia" w:ascii="楷体_GB2312" w:hAnsi="楷体_GB2312" w:eastAsia="楷体_GB2312"/>
                <w:kern w:val="0"/>
                <w:sz w:val="24"/>
                <w:szCs w:val="24"/>
              </w:rPr>
              <w:t>单位：</w:t>
            </w:r>
            <w:r>
              <w:rPr>
                <w:rFonts w:hint="eastAsia" w:ascii="楷体_GB2312" w:hAnsi="楷体_GB2312" w:eastAsia="楷体_GB2312"/>
                <w:sz w:val="24"/>
                <w:szCs w:val="24"/>
              </w:rPr>
              <w:t xml:space="preserve"> </w:t>
            </w:r>
            <w:bookmarkStart w:id="32" w:name="ANAME_1"/>
            <w:bookmarkEnd w:id="32"/>
            <w:r>
              <w:rPr>
                <w:rFonts w:hint="eastAsia" w:ascii="楷体_GB2312" w:hAnsi="楷体_GB2312" w:eastAsia="楷体_GB2312"/>
                <w:sz w:val="24"/>
                <w:szCs w:val="24"/>
              </w:rPr>
              <w:t xml:space="preserve">    </w:t>
            </w:r>
          </w:p>
        </w:tc>
        <w:tc>
          <w:tcPr>
            <w:tcW w:w="4810" w:type="dxa"/>
            <w:tcBorders>
              <w:top w:val="single" w:color="000000" w:sz="4" w:space="0"/>
              <w:left w:val="nil"/>
              <w:bottom w:val="single" w:color="000000" w:sz="4" w:space="0"/>
              <w:right w:val="single" w:color="000000" w:sz="4" w:space="0"/>
            </w:tcBorders>
            <w:noWrap w:val="0"/>
            <w:vAlign w:val="center"/>
          </w:tcPr>
          <w:p w14:paraId="5FAD32A0">
            <w:pPr>
              <w:keepNext w:val="0"/>
              <w:keepLines w:val="0"/>
              <w:pageBreakBefore w:val="0"/>
              <w:widowControl/>
              <w:kinsoku/>
              <w:wordWrap/>
              <w:overflowPunct/>
              <w:topLinePunct w:val="0"/>
              <w:autoSpaceDE/>
              <w:bidi w:val="0"/>
              <w:snapToGrid/>
              <w:spacing w:line="380" w:lineRule="exact"/>
              <w:rPr>
                <w:rFonts w:hint="eastAsia" w:ascii="楷体_GB2312" w:hAnsi="楷体_GB2312" w:eastAsia="楷体_GB2312"/>
                <w:kern w:val="0"/>
                <w:sz w:val="24"/>
                <w:szCs w:val="24"/>
              </w:rPr>
            </w:pPr>
            <w:r>
              <w:rPr>
                <w:rFonts w:hint="eastAsia" w:ascii="楷体_GB2312" w:hAnsi="楷体_GB2312" w:eastAsia="楷体_GB2312"/>
                <w:kern w:val="0"/>
                <w:sz w:val="24"/>
                <w:szCs w:val="24"/>
                <w:lang w:val="en-US" w:eastAsia="zh-CN"/>
              </w:rPr>
              <w:t>姓名</w:t>
            </w:r>
            <w:r>
              <w:rPr>
                <w:rFonts w:hint="eastAsia" w:ascii="楷体_GB2312" w:hAnsi="楷体_GB2312" w:eastAsia="楷体_GB2312"/>
                <w:kern w:val="0"/>
                <w:sz w:val="24"/>
                <w:szCs w:val="24"/>
              </w:rPr>
              <w:t>：</w:t>
            </w:r>
            <w:r>
              <w:rPr>
                <w:rFonts w:hint="eastAsia" w:ascii="楷体_GB2312" w:hAnsi="楷体_GB2312" w:eastAsia="楷体_GB2312"/>
                <w:sz w:val="24"/>
                <w:szCs w:val="24"/>
              </w:rPr>
              <w:t xml:space="preserve"> </w:t>
            </w:r>
            <w:bookmarkStart w:id="33" w:name="BNAME_1"/>
            <w:bookmarkEnd w:id="33"/>
            <w:r>
              <w:rPr>
                <w:rFonts w:hint="eastAsia" w:ascii="楷体_GB2312" w:hAnsi="楷体_GB2312" w:eastAsia="楷体_GB2312"/>
                <w:sz w:val="24"/>
                <w:szCs w:val="24"/>
              </w:rPr>
              <w:t xml:space="preserve">    </w:t>
            </w:r>
          </w:p>
        </w:tc>
      </w:tr>
      <w:tr w14:paraId="4C68CCC4">
        <w:tblPrEx>
          <w:tblCellMar>
            <w:top w:w="0" w:type="dxa"/>
            <w:left w:w="108" w:type="dxa"/>
            <w:bottom w:w="0" w:type="dxa"/>
            <w:right w:w="108" w:type="dxa"/>
          </w:tblCellMar>
        </w:tblPrEx>
        <w:trPr>
          <w:trHeight w:val="298" w:hRule="atLeast"/>
        </w:trPr>
        <w:tc>
          <w:tcPr>
            <w:tcW w:w="5039" w:type="dxa"/>
            <w:tcBorders>
              <w:top w:val="single" w:color="000000" w:sz="4" w:space="0"/>
              <w:left w:val="single" w:color="000000" w:sz="4" w:space="0"/>
              <w:bottom w:val="single" w:color="000000" w:sz="4" w:space="0"/>
              <w:right w:val="single" w:color="000000" w:sz="4" w:space="0"/>
            </w:tcBorders>
            <w:noWrap w:val="0"/>
            <w:vAlign w:val="center"/>
          </w:tcPr>
          <w:p w14:paraId="6EC340B5">
            <w:pPr>
              <w:keepNext w:val="0"/>
              <w:keepLines w:val="0"/>
              <w:pageBreakBefore w:val="0"/>
              <w:widowControl/>
              <w:kinsoku/>
              <w:wordWrap/>
              <w:overflowPunct/>
              <w:topLinePunct w:val="0"/>
              <w:autoSpaceDE/>
              <w:bidi w:val="0"/>
              <w:snapToGrid/>
              <w:spacing w:line="380" w:lineRule="exact"/>
              <w:rPr>
                <w:rFonts w:hint="eastAsia" w:ascii="楷体_GB2312" w:hAnsi="楷体_GB2312" w:eastAsia="楷体_GB2312"/>
                <w:kern w:val="0"/>
                <w:sz w:val="24"/>
                <w:szCs w:val="24"/>
                <w:lang w:eastAsia="zh-CN"/>
              </w:rPr>
            </w:pPr>
            <w:r>
              <w:rPr>
                <w:rFonts w:hint="eastAsia" w:ascii="楷体_GB2312" w:hAnsi="楷体_GB2312" w:eastAsia="楷体_GB2312" w:cs="楷体_GB2312"/>
                <w:sz w:val="24"/>
                <w:szCs w:val="24"/>
              </w:rPr>
              <w:t>法定代表人：</w:t>
            </w:r>
          </w:p>
        </w:tc>
        <w:tc>
          <w:tcPr>
            <w:tcW w:w="4810" w:type="dxa"/>
            <w:tcBorders>
              <w:top w:val="single" w:color="000000" w:sz="4" w:space="0"/>
              <w:left w:val="nil"/>
              <w:bottom w:val="single" w:color="000000" w:sz="4" w:space="0"/>
              <w:right w:val="single" w:color="000000" w:sz="4" w:space="0"/>
            </w:tcBorders>
            <w:noWrap w:val="0"/>
            <w:vAlign w:val="center"/>
          </w:tcPr>
          <w:p w14:paraId="196728D3">
            <w:pPr>
              <w:keepNext w:val="0"/>
              <w:keepLines w:val="0"/>
              <w:pageBreakBefore w:val="0"/>
              <w:widowControl/>
              <w:kinsoku/>
              <w:wordWrap/>
              <w:overflowPunct/>
              <w:topLinePunct w:val="0"/>
              <w:autoSpaceDE/>
              <w:bidi w:val="0"/>
              <w:snapToGrid/>
              <w:spacing w:line="380" w:lineRule="exact"/>
              <w:rPr>
                <w:rFonts w:hint="eastAsia" w:ascii="楷体_GB2312" w:hAnsi="楷体_GB2312" w:eastAsia="楷体_GB2312"/>
                <w:kern w:val="0"/>
                <w:sz w:val="24"/>
                <w:szCs w:val="24"/>
              </w:rPr>
            </w:pPr>
            <w:r>
              <w:rPr>
                <w:rFonts w:hint="eastAsia" w:ascii="楷体_GB2312" w:hAnsi="楷体_GB2312" w:eastAsia="楷体_GB2312"/>
                <w:kern w:val="0"/>
                <w:sz w:val="24"/>
                <w:szCs w:val="24"/>
                <w:lang w:val="en-US" w:eastAsia="zh-CN"/>
              </w:rPr>
              <w:t>住所</w:t>
            </w:r>
            <w:r>
              <w:rPr>
                <w:rFonts w:hint="eastAsia" w:ascii="楷体_GB2312" w:hAnsi="楷体_GB2312" w:eastAsia="楷体_GB2312"/>
                <w:kern w:val="0"/>
                <w:sz w:val="24"/>
                <w:szCs w:val="24"/>
              </w:rPr>
              <w:t xml:space="preserve">： </w:t>
            </w:r>
            <w:r>
              <w:rPr>
                <w:rFonts w:hint="eastAsia" w:ascii="楷体_GB2312" w:hAnsi="楷体_GB2312" w:eastAsia="楷体_GB2312"/>
                <w:sz w:val="24"/>
                <w:szCs w:val="24"/>
              </w:rPr>
              <w:t xml:space="preserve"> </w:t>
            </w:r>
            <w:bookmarkStart w:id="34" w:name="BADDRESS"/>
            <w:bookmarkEnd w:id="34"/>
          </w:p>
        </w:tc>
      </w:tr>
      <w:tr w14:paraId="6A9F5759">
        <w:tblPrEx>
          <w:tblCellMar>
            <w:top w:w="0" w:type="dxa"/>
            <w:left w:w="108" w:type="dxa"/>
            <w:bottom w:w="0" w:type="dxa"/>
            <w:right w:w="108" w:type="dxa"/>
          </w:tblCellMar>
        </w:tblPrEx>
        <w:trPr>
          <w:trHeight w:val="678" w:hRule="atLeast"/>
        </w:trPr>
        <w:tc>
          <w:tcPr>
            <w:tcW w:w="5039" w:type="dxa"/>
            <w:tcBorders>
              <w:top w:val="single" w:color="000000" w:sz="4" w:space="0"/>
              <w:left w:val="single" w:color="000000" w:sz="4" w:space="0"/>
              <w:bottom w:val="single" w:color="000000" w:sz="4" w:space="0"/>
              <w:right w:val="single" w:color="000000" w:sz="4" w:space="0"/>
            </w:tcBorders>
            <w:noWrap w:val="0"/>
            <w:vAlign w:val="center"/>
          </w:tcPr>
          <w:p w14:paraId="077B2BA6">
            <w:pPr>
              <w:keepNext w:val="0"/>
              <w:keepLines w:val="0"/>
              <w:pageBreakBefore w:val="0"/>
              <w:widowControl/>
              <w:kinsoku/>
              <w:wordWrap/>
              <w:overflowPunct/>
              <w:topLinePunct w:val="0"/>
              <w:autoSpaceDE/>
              <w:bidi w:val="0"/>
              <w:snapToGrid/>
              <w:spacing w:line="380" w:lineRule="exact"/>
              <w:rPr>
                <w:rFonts w:hint="default" w:ascii="楷体_GB2312" w:hAnsi="楷体_GB2312" w:eastAsia="楷体_GB2312"/>
                <w:kern w:val="0"/>
                <w:sz w:val="24"/>
                <w:szCs w:val="24"/>
                <w:lang w:val="en-US" w:eastAsia="zh-CN"/>
              </w:rPr>
            </w:pPr>
            <w:r>
              <w:rPr>
                <w:rFonts w:hint="eastAsia" w:ascii="楷体_GB2312" w:hAnsi="楷体_GB2312" w:eastAsia="楷体_GB2312"/>
                <w:kern w:val="0"/>
                <w:sz w:val="24"/>
                <w:szCs w:val="24"/>
              </w:rPr>
              <w:t>联系电话：</w:t>
            </w:r>
            <w:r>
              <w:rPr>
                <w:rFonts w:hint="eastAsia" w:ascii="楷体_GB2312" w:hAnsi="楷体_GB2312" w:eastAsia="楷体_GB2312"/>
                <w:sz w:val="24"/>
                <w:szCs w:val="24"/>
              </w:rPr>
              <w:t xml:space="preserve"> </w:t>
            </w:r>
            <w:r>
              <w:rPr>
                <w:rFonts w:hint="eastAsia" w:ascii="楷体_GB2312" w:hAnsi="楷体_GB2312" w:eastAsia="楷体_GB2312"/>
                <w:sz w:val="24"/>
                <w:szCs w:val="24"/>
                <w:lang w:val="en-US" w:eastAsia="zh-CN"/>
              </w:rPr>
              <w:t xml:space="preserve"> </w:t>
            </w:r>
          </w:p>
        </w:tc>
        <w:tc>
          <w:tcPr>
            <w:tcW w:w="4810" w:type="dxa"/>
            <w:tcBorders>
              <w:top w:val="single" w:color="000000" w:sz="4" w:space="0"/>
              <w:left w:val="nil"/>
              <w:bottom w:val="single" w:color="000000" w:sz="4" w:space="0"/>
              <w:right w:val="single" w:color="000000" w:sz="4" w:space="0"/>
            </w:tcBorders>
            <w:noWrap w:val="0"/>
            <w:vAlign w:val="center"/>
          </w:tcPr>
          <w:p w14:paraId="71F8B421">
            <w:pPr>
              <w:keepNext w:val="0"/>
              <w:keepLines w:val="0"/>
              <w:pageBreakBefore w:val="0"/>
              <w:widowControl/>
              <w:kinsoku/>
              <w:wordWrap/>
              <w:overflowPunct/>
              <w:topLinePunct w:val="0"/>
              <w:autoSpaceDE/>
              <w:bidi w:val="0"/>
              <w:snapToGrid/>
              <w:spacing w:line="380" w:lineRule="exact"/>
              <w:rPr>
                <w:rFonts w:hint="eastAsia" w:ascii="楷体_GB2312" w:hAnsi="楷体_GB2312" w:eastAsia="楷体_GB2312"/>
                <w:kern w:val="0"/>
                <w:sz w:val="24"/>
                <w:szCs w:val="24"/>
              </w:rPr>
            </w:pPr>
            <w:r>
              <w:rPr>
                <w:rFonts w:hint="eastAsia" w:ascii="楷体_GB2312" w:hAnsi="楷体_GB2312" w:eastAsia="楷体_GB2312"/>
                <w:kern w:val="0"/>
                <w:sz w:val="24"/>
                <w:szCs w:val="24"/>
                <w:lang w:val="en-US" w:eastAsia="zh-CN"/>
              </w:rPr>
              <w:t>现住址</w:t>
            </w:r>
            <w:r>
              <w:rPr>
                <w:rFonts w:hint="eastAsia" w:ascii="楷体_GB2312" w:hAnsi="楷体_GB2312" w:eastAsia="楷体_GB2312"/>
                <w:kern w:val="0"/>
                <w:sz w:val="24"/>
                <w:szCs w:val="24"/>
              </w:rPr>
              <w:t>：</w:t>
            </w:r>
            <w:r>
              <w:rPr>
                <w:rFonts w:hint="eastAsia" w:ascii="楷体_GB2312" w:hAnsi="楷体_GB2312" w:eastAsia="楷体_GB2312"/>
                <w:sz w:val="24"/>
                <w:szCs w:val="24"/>
              </w:rPr>
              <w:t xml:space="preserve"> </w:t>
            </w:r>
          </w:p>
        </w:tc>
      </w:tr>
      <w:tr w14:paraId="414C249E">
        <w:tblPrEx>
          <w:tblCellMar>
            <w:top w:w="0" w:type="dxa"/>
            <w:left w:w="108" w:type="dxa"/>
            <w:bottom w:w="0" w:type="dxa"/>
            <w:right w:w="108" w:type="dxa"/>
          </w:tblCellMar>
        </w:tblPrEx>
        <w:trPr>
          <w:trHeight w:val="450" w:hRule="atLeast"/>
        </w:trPr>
        <w:tc>
          <w:tcPr>
            <w:tcW w:w="5039" w:type="dxa"/>
            <w:tcBorders>
              <w:top w:val="single" w:color="000000" w:sz="4" w:space="0"/>
              <w:left w:val="single" w:color="000000" w:sz="4" w:space="0"/>
              <w:bottom w:val="single" w:color="000000" w:sz="4" w:space="0"/>
              <w:right w:val="single" w:color="000000" w:sz="4" w:space="0"/>
            </w:tcBorders>
            <w:noWrap w:val="0"/>
            <w:vAlign w:val="center"/>
          </w:tcPr>
          <w:p w14:paraId="085C9DA8">
            <w:pPr>
              <w:keepNext w:val="0"/>
              <w:keepLines w:val="0"/>
              <w:pageBreakBefore w:val="0"/>
              <w:widowControl/>
              <w:kinsoku/>
              <w:wordWrap/>
              <w:overflowPunct/>
              <w:topLinePunct w:val="0"/>
              <w:autoSpaceDE/>
              <w:bidi w:val="0"/>
              <w:snapToGrid/>
              <w:spacing w:line="380" w:lineRule="exact"/>
              <w:rPr>
                <w:rFonts w:hint="eastAsia" w:ascii="楷体_GB2312" w:hAnsi="楷体_GB2312" w:eastAsia="楷体_GB2312"/>
                <w:kern w:val="0"/>
                <w:sz w:val="24"/>
                <w:szCs w:val="24"/>
              </w:rPr>
            </w:pPr>
            <w:r>
              <w:rPr>
                <w:rFonts w:hint="eastAsia" w:ascii="楷体_GB2312" w:hAnsi="楷体_GB2312" w:eastAsia="楷体_GB2312"/>
                <w:kern w:val="0"/>
                <w:sz w:val="24"/>
                <w:szCs w:val="24"/>
              </w:rPr>
              <w:t>签订日期：</w:t>
            </w:r>
            <w:r>
              <w:rPr>
                <w:rFonts w:hint="eastAsia" w:ascii="楷体_GB2312" w:hAnsi="楷体_GB2312" w:eastAsia="楷体_GB2312"/>
                <w:sz w:val="24"/>
                <w:szCs w:val="24"/>
              </w:rPr>
              <w:t xml:space="preserve"> </w:t>
            </w:r>
            <w:bookmarkStart w:id="35" w:name="AIDCARD"/>
            <w:bookmarkEnd w:id="35"/>
          </w:p>
        </w:tc>
        <w:tc>
          <w:tcPr>
            <w:tcW w:w="4810" w:type="dxa"/>
            <w:tcBorders>
              <w:top w:val="single" w:color="000000" w:sz="4" w:space="0"/>
              <w:left w:val="nil"/>
              <w:bottom w:val="single" w:color="000000" w:sz="4" w:space="0"/>
              <w:right w:val="single" w:color="000000" w:sz="4" w:space="0"/>
            </w:tcBorders>
            <w:noWrap w:val="0"/>
            <w:vAlign w:val="center"/>
          </w:tcPr>
          <w:p w14:paraId="3C0BCCC7">
            <w:pPr>
              <w:keepNext w:val="0"/>
              <w:keepLines w:val="0"/>
              <w:pageBreakBefore w:val="0"/>
              <w:widowControl/>
              <w:kinsoku/>
              <w:wordWrap/>
              <w:overflowPunct/>
              <w:topLinePunct w:val="0"/>
              <w:autoSpaceDE/>
              <w:bidi w:val="0"/>
              <w:snapToGrid/>
              <w:spacing w:line="380" w:lineRule="exact"/>
              <w:rPr>
                <w:rFonts w:hint="eastAsia" w:ascii="楷体_GB2312" w:hAnsi="楷体_GB2312" w:eastAsia="楷体_GB2312"/>
                <w:kern w:val="0"/>
                <w:sz w:val="24"/>
                <w:szCs w:val="24"/>
              </w:rPr>
            </w:pPr>
            <w:r>
              <w:rPr>
                <w:rFonts w:hint="eastAsia" w:ascii="楷体_GB2312" w:hAnsi="楷体_GB2312" w:eastAsia="楷体_GB2312"/>
                <w:kern w:val="0"/>
                <w:sz w:val="24"/>
                <w:szCs w:val="24"/>
              </w:rPr>
              <w:t>身份证号码：</w:t>
            </w:r>
            <w:r>
              <w:rPr>
                <w:rFonts w:hint="eastAsia" w:ascii="楷体_GB2312" w:hAnsi="楷体_GB2312" w:eastAsia="楷体_GB2312"/>
                <w:sz w:val="24"/>
                <w:szCs w:val="24"/>
              </w:rPr>
              <w:t xml:space="preserve"> </w:t>
            </w:r>
            <w:bookmarkStart w:id="36" w:name="BIDCARD"/>
            <w:bookmarkEnd w:id="36"/>
          </w:p>
        </w:tc>
      </w:tr>
      <w:tr w14:paraId="26D214AC">
        <w:tblPrEx>
          <w:tblCellMar>
            <w:top w:w="0" w:type="dxa"/>
            <w:left w:w="108" w:type="dxa"/>
            <w:bottom w:w="0" w:type="dxa"/>
            <w:right w:w="108" w:type="dxa"/>
          </w:tblCellMar>
        </w:tblPrEx>
        <w:trPr>
          <w:trHeight w:val="406" w:hRule="atLeast"/>
        </w:trPr>
        <w:tc>
          <w:tcPr>
            <w:tcW w:w="5039" w:type="dxa"/>
            <w:tcBorders>
              <w:top w:val="single" w:color="000000" w:sz="4" w:space="0"/>
              <w:left w:val="single" w:color="000000" w:sz="4" w:space="0"/>
              <w:bottom w:val="single" w:color="000000" w:sz="4" w:space="0"/>
              <w:right w:val="single" w:color="000000" w:sz="4" w:space="0"/>
            </w:tcBorders>
            <w:noWrap w:val="0"/>
            <w:vAlign w:val="center"/>
          </w:tcPr>
          <w:p w14:paraId="10DEB35C">
            <w:pPr>
              <w:keepNext w:val="0"/>
              <w:keepLines w:val="0"/>
              <w:pageBreakBefore w:val="0"/>
              <w:widowControl/>
              <w:kinsoku/>
              <w:wordWrap/>
              <w:overflowPunct/>
              <w:topLinePunct w:val="0"/>
              <w:autoSpaceDE/>
              <w:bidi w:val="0"/>
              <w:snapToGrid/>
              <w:spacing w:line="380" w:lineRule="exact"/>
              <w:rPr>
                <w:rFonts w:hint="eastAsia" w:ascii="楷体_GB2312" w:hAnsi="楷体_GB2312" w:eastAsia="楷体_GB2312"/>
                <w:kern w:val="0"/>
                <w:sz w:val="24"/>
                <w:szCs w:val="24"/>
              </w:rPr>
            </w:pPr>
          </w:p>
        </w:tc>
        <w:tc>
          <w:tcPr>
            <w:tcW w:w="4810" w:type="dxa"/>
            <w:tcBorders>
              <w:top w:val="single" w:color="000000" w:sz="4" w:space="0"/>
              <w:left w:val="nil"/>
              <w:bottom w:val="single" w:color="000000" w:sz="4" w:space="0"/>
              <w:right w:val="single" w:color="000000" w:sz="4" w:space="0"/>
            </w:tcBorders>
            <w:noWrap w:val="0"/>
            <w:vAlign w:val="center"/>
          </w:tcPr>
          <w:p w14:paraId="389E800C">
            <w:pPr>
              <w:keepNext w:val="0"/>
              <w:keepLines w:val="0"/>
              <w:pageBreakBefore w:val="0"/>
              <w:widowControl/>
              <w:kinsoku/>
              <w:wordWrap/>
              <w:overflowPunct/>
              <w:topLinePunct w:val="0"/>
              <w:autoSpaceDE/>
              <w:bidi w:val="0"/>
              <w:snapToGrid/>
              <w:spacing w:line="380" w:lineRule="exact"/>
              <w:rPr>
                <w:rFonts w:hint="eastAsia" w:ascii="楷体_GB2312" w:hAnsi="楷体_GB2312" w:eastAsia="楷体_GB2312"/>
                <w:kern w:val="0"/>
                <w:sz w:val="24"/>
                <w:szCs w:val="24"/>
              </w:rPr>
            </w:pPr>
            <w:r>
              <w:rPr>
                <w:rFonts w:hint="eastAsia" w:ascii="楷体_GB2312" w:hAnsi="楷体_GB2312" w:eastAsia="楷体_GB2312"/>
                <w:kern w:val="0"/>
                <w:sz w:val="24"/>
                <w:szCs w:val="24"/>
              </w:rPr>
              <w:t>联系电话：</w:t>
            </w:r>
            <w:r>
              <w:rPr>
                <w:rFonts w:hint="eastAsia" w:ascii="楷体_GB2312" w:hAnsi="楷体_GB2312" w:eastAsia="楷体_GB2312"/>
                <w:sz w:val="24"/>
                <w:szCs w:val="24"/>
              </w:rPr>
              <w:t xml:space="preserve"> </w:t>
            </w:r>
            <w:bookmarkStart w:id="37" w:name="BPHONE"/>
            <w:bookmarkEnd w:id="37"/>
          </w:p>
        </w:tc>
      </w:tr>
      <w:tr w14:paraId="0C8CCFBD">
        <w:tblPrEx>
          <w:tblCellMar>
            <w:top w:w="0" w:type="dxa"/>
            <w:left w:w="108" w:type="dxa"/>
            <w:bottom w:w="0" w:type="dxa"/>
            <w:right w:w="108" w:type="dxa"/>
          </w:tblCellMar>
        </w:tblPrEx>
        <w:trPr>
          <w:trHeight w:val="365" w:hRule="atLeast"/>
        </w:trPr>
        <w:tc>
          <w:tcPr>
            <w:tcW w:w="5039" w:type="dxa"/>
            <w:tcBorders>
              <w:top w:val="single" w:color="000000" w:sz="4" w:space="0"/>
              <w:left w:val="single" w:color="000000" w:sz="4" w:space="0"/>
              <w:bottom w:val="single" w:color="000000" w:sz="4" w:space="0"/>
              <w:right w:val="single" w:color="000000" w:sz="4" w:space="0"/>
            </w:tcBorders>
            <w:noWrap w:val="0"/>
            <w:vAlign w:val="center"/>
          </w:tcPr>
          <w:p w14:paraId="13FD0C5C">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w:t>
            </w:r>
            <w:bookmarkStart w:id="38" w:name="SINGUPTIME"/>
            <w:bookmarkEnd w:id="38"/>
          </w:p>
        </w:tc>
        <w:tc>
          <w:tcPr>
            <w:tcW w:w="4810" w:type="dxa"/>
            <w:tcBorders>
              <w:top w:val="single" w:color="000000" w:sz="4" w:space="0"/>
              <w:left w:val="nil"/>
              <w:bottom w:val="single" w:color="000000" w:sz="4" w:space="0"/>
              <w:right w:val="single" w:color="000000" w:sz="4" w:space="0"/>
            </w:tcBorders>
            <w:noWrap w:val="0"/>
            <w:vAlign w:val="center"/>
          </w:tcPr>
          <w:p w14:paraId="5E2E3C71">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签订日期： </w:t>
            </w:r>
            <w:bookmarkStart w:id="39" w:name="SINGUPTIME_1"/>
            <w:bookmarkEnd w:id="39"/>
          </w:p>
        </w:tc>
      </w:tr>
      <w:tr w14:paraId="627762FB">
        <w:tblPrEx>
          <w:tblCellMar>
            <w:top w:w="0" w:type="dxa"/>
            <w:left w:w="108" w:type="dxa"/>
            <w:bottom w:w="0" w:type="dxa"/>
            <w:right w:w="108" w:type="dxa"/>
          </w:tblCellMar>
        </w:tblPrEx>
        <w:trPr>
          <w:trHeight w:val="419" w:hRule="atLeast"/>
        </w:trPr>
        <w:tc>
          <w:tcPr>
            <w:tcW w:w="9849" w:type="dxa"/>
            <w:gridSpan w:val="2"/>
            <w:tcBorders>
              <w:top w:val="single" w:color="000000" w:sz="4" w:space="0"/>
              <w:left w:val="single" w:color="000000" w:sz="4" w:space="0"/>
              <w:bottom w:val="single" w:color="000000" w:sz="4" w:space="0"/>
              <w:right w:val="single" w:color="000000" w:sz="4" w:space="0"/>
            </w:tcBorders>
            <w:noWrap w:val="0"/>
            <w:vAlign w:val="center"/>
          </w:tcPr>
          <w:p w14:paraId="2DB591FB">
            <w:pPr>
              <w:keepNext w:val="0"/>
              <w:keepLines w:val="0"/>
              <w:pageBreakBefore w:val="0"/>
              <w:widowControl/>
              <w:kinsoku/>
              <w:wordWrap/>
              <w:overflowPunct/>
              <w:topLinePunct w:val="0"/>
              <w:autoSpaceDE/>
              <w:bidi w:val="0"/>
              <w:snapToGrid/>
              <w:spacing w:line="380" w:lineRule="exact"/>
              <w:jc w:val="center"/>
              <w:rPr>
                <w:rFonts w:hint="eastAsia" w:ascii="楷体_GB2312" w:hAnsi="楷体_GB2312" w:eastAsia="楷体_GB2312"/>
                <w:b/>
                <w:bCs/>
                <w:kern w:val="0"/>
                <w:sz w:val="24"/>
                <w:szCs w:val="24"/>
              </w:rPr>
            </w:pPr>
            <w:r>
              <w:rPr>
                <w:rFonts w:hint="eastAsia" w:ascii="楷体_GB2312" w:hAnsi="楷体_GB2312" w:eastAsia="楷体_GB2312"/>
                <w:b/>
                <w:bCs/>
                <w:kern w:val="0"/>
                <w:sz w:val="24"/>
                <w:szCs w:val="24"/>
              </w:rPr>
              <w:t>合同见证人</w:t>
            </w:r>
          </w:p>
        </w:tc>
      </w:tr>
      <w:tr w14:paraId="3C5F4F4E">
        <w:tblPrEx>
          <w:tblCellMar>
            <w:top w:w="0" w:type="dxa"/>
            <w:left w:w="108" w:type="dxa"/>
            <w:bottom w:w="0" w:type="dxa"/>
            <w:right w:w="108" w:type="dxa"/>
          </w:tblCellMar>
        </w:tblPrEx>
        <w:trPr>
          <w:trHeight w:val="461" w:hRule="atLeast"/>
        </w:trPr>
        <w:tc>
          <w:tcPr>
            <w:tcW w:w="9849" w:type="dxa"/>
            <w:gridSpan w:val="2"/>
            <w:tcBorders>
              <w:top w:val="single" w:color="000000" w:sz="4" w:space="0"/>
              <w:left w:val="single" w:color="000000" w:sz="4" w:space="0"/>
              <w:bottom w:val="single" w:color="000000" w:sz="4" w:space="0"/>
              <w:right w:val="single" w:color="000000" w:sz="4" w:space="0"/>
            </w:tcBorders>
            <w:noWrap w:val="0"/>
            <w:vAlign w:val="top"/>
          </w:tcPr>
          <w:p w14:paraId="07D3EA44">
            <w:pPr>
              <w:keepNext w:val="0"/>
              <w:keepLines w:val="0"/>
              <w:pageBreakBefore w:val="0"/>
              <w:widowControl/>
              <w:kinsoku/>
              <w:wordWrap/>
              <w:overflowPunct/>
              <w:topLinePunct w:val="0"/>
              <w:autoSpaceDE/>
              <w:bidi w:val="0"/>
              <w:snapToGrid/>
              <w:spacing w:line="380" w:lineRule="exact"/>
              <w:rPr>
                <w:rFonts w:hint="eastAsia" w:ascii="楷体_GB2312" w:hAnsi="楷体_GB2312" w:eastAsia="楷体_GB2312"/>
                <w:kern w:val="0"/>
                <w:sz w:val="24"/>
                <w:szCs w:val="24"/>
              </w:rPr>
            </w:pPr>
            <w:r>
              <w:rPr>
                <w:rFonts w:hint="eastAsia" w:ascii="楷体_GB2312" w:hAnsi="楷体_GB2312" w:eastAsia="楷体_GB2312"/>
                <w:kern w:val="0"/>
                <w:sz w:val="24"/>
                <w:szCs w:val="24"/>
              </w:rPr>
              <w:t>签名：</w:t>
            </w:r>
            <w:r>
              <w:rPr>
                <w:rFonts w:hint="eastAsia" w:ascii="楷体_GB2312" w:hAnsi="楷体_GB2312" w:eastAsia="楷体_GB2312"/>
                <w:kern w:val="0"/>
                <w:sz w:val="24"/>
                <w:szCs w:val="24"/>
                <w:lang w:val="en-US" w:eastAsia="zh-CN"/>
              </w:rPr>
              <w:t xml:space="preserve">                        </w:t>
            </w:r>
            <w:r>
              <w:rPr>
                <w:rFonts w:hint="eastAsia" w:ascii="楷体_GB2312" w:hAnsi="楷体_GB2312" w:eastAsia="楷体_GB2312"/>
                <w:kern w:val="0"/>
                <w:sz w:val="24"/>
                <w:szCs w:val="24"/>
              </w:rPr>
              <w:t>日期：</w:t>
            </w:r>
          </w:p>
        </w:tc>
      </w:tr>
    </w:tbl>
    <w:p w14:paraId="5F12EA57">
      <w:pPr>
        <w:keepNext w:val="0"/>
        <w:keepLines w:val="0"/>
        <w:pageBreakBefore w:val="0"/>
        <w:kinsoku/>
        <w:wordWrap/>
        <w:overflowPunct/>
        <w:topLinePunct w:val="0"/>
        <w:autoSpaceDE/>
        <w:bidi w:val="0"/>
        <w:snapToGrid/>
        <w:spacing w:line="380" w:lineRule="exact"/>
        <w:jc w:val="both"/>
        <w:rPr>
          <w:rFonts w:hint="eastAsia" w:ascii="楷体_GB2312" w:hAnsi="楷体_GB2312" w:eastAsia="楷体_GB2312" w:cs="楷体_GB2312"/>
          <w:b/>
          <w:bCs/>
          <w:sz w:val="32"/>
          <w:szCs w:val="32"/>
        </w:rPr>
      </w:pPr>
    </w:p>
    <w:p w14:paraId="1B58CC8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楷体_GB2312" w:hAnsi="楷体_GB2312" w:eastAsia="楷体_GB2312" w:cs="楷体_GB2312"/>
          <w:b/>
          <w:bCs/>
          <w:sz w:val="32"/>
          <w:szCs w:val="32"/>
        </w:rPr>
      </w:pPr>
    </w:p>
    <w:p w14:paraId="5BC6580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楷体_GB2312" w:hAnsi="楷体_GB2312" w:eastAsia="楷体_GB2312" w:cs="楷体_GB2312"/>
          <w:b/>
          <w:bCs/>
          <w:sz w:val="32"/>
          <w:szCs w:val="32"/>
        </w:rPr>
      </w:pPr>
    </w:p>
    <w:p w14:paraId="2CDCC2A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楷体_GB2312" w:hAnsi="楷体_GB2312" w:eastAsia="楷体_GB2312" w:cs="楷体_GB2312"/>
          <w:b/>
          <w:bCs/>
          <w:sz w:val="32"/>
          <w:szCs w:val="32"/>
        </w:rPr>
      </w:pPr>
    </w:p>
    <w:p w14:paraId="7618C50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楷体_GB2312" w:hAnsi="楷体_GB2312" w:eastAsia="楷体_GB2312" w:cs="楷体_GB2312"/>
          <w:b/>
          <w:bCs/>
          <w:sz w:val="32"/>
          <w:szCs w:val="32"/>
        </w:rPr>
      </w:pPr>
    </w:p>
    <w:p w14:paraId="53CBC68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楷体_GB2312" w:hAnsi="楷体_GB2312" w:eastAsia="楷体_GB2312" w:cs="楷体_GB2312"/>
          <w:b/>
          <w:bCs/>
          <w:sz w:val="32"/>
          <w:szCs w:val="32"/>
        </w:rPr>
      </w:pPr>
    </w:p>
    <w:p w14:paraId="59B0B18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楷体_GB2312" w:hAnsi="楷体_GB2312" w:eastAsia="楷体_GB2312" w:cs="楷体_GB2312"/>
          <w:b/>
          <w:bCs/>
          <w:sz w:val="32"/>
          <w:szCs w:val="32"/>
        </w:rPr>
      </w:pPr>
    </w:p>
    <w:p w14:paraId="627D2B2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楷体_GB2312" w:hAnsi="楷体_GB2312" w:eastAsia="楷体_GB2312" w:cs="楷体_GB2312"/>
          <w:b/>
          <w:bCs/>
          <w:sz w:val="32"/>
          <w:szCs w:val="32"/>
        </w:rPr>
      </w:pPr>
    </w:p>
    <w:p w14:paraId="52A4C59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楷体_GB2312" w:hAnsi="楷体_GB2312" w:eastAsia="楷体_GB2312" w:cs="楷体_GB2312"/>
          <w:b/>
          <w:bCs/>
          <w:sz w:val="32"/>
          <w:szCs w:val="32"/>
        </w:rPr>
      </w:pPr>
    </w:p>
    <w:p w14:paraId="22B959C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楷体_GB2312" w:hAnsi="楷体_GB2312" w:eastAsia="楷体_GB2312" w:cs="楷体_GB2312"/>
          <w:b/>
          <w:bCs/>
          <w:sz w:val="32"/>
          <w:szCs w:val="32"/>
        </w:rPr>
      </w:pPr>
    </w:p>
    <w:p w14:paraId="5E278C1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楷体_GB2312" w:hAnsi="楷体_GB2312" w:eastAsia="楷体_GB2312" w:cs="楷体_GB2312"/>
          <w:b/>
          <w:bCs/>
          <w:sz w:val="32"/>
          <w:szCs w:val="32"/>
        </w:rPr>
      </w:pPr>
    </w:p>
    <w:p w14:paraId="37ED18C0">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楷体_GB2312" w:hAnsi="楷体_GB2312" w:eastAsia="楷体_GB2312" w:cs="楷体_GB2312"/>
          <w:b/>
          <w:bCs/>
          <w:sz w:val="32"/>
          <w:szCs w:val="32"/>
        </w:rPr>
      </w:pPr>
    </w:p>
    <w:p w14:paraId="0F2C3C94">
      <w:pPr>
        <w:keepNext w:val="0"/>
        <w:keepLines w:val="0"/>
        <w:widowControl/>
        <w:suppressLineNumbers w:val="0"/>
        <w:spacing w:after="0" w:line="240" w:lineRule="auto"/>
        <w:jc w:val="center"/>
        <w:textAlignment w:val="center"/>
        <w:rPr>
          <w:rFonts w:hint="eastAsia" w:ascii="楷体_GB2312" w:hAnsi="楷体_GB2312" w:eastAsia="楷体_GB2312" w:cs="楷体_GB2312"/>
          <w:b/>
          <w:bCs/>
          <w:sz w:val="32"/>
          <w:szCs w:val="32"/>
        </w:rPr>
      </w:pPr>
    </w:p>
    <w:p w14:paraId="1EB9E55D">
      <w:pPr>
        <w:keepNext w:val="0"/>
        <w:keepLines w:val="0"/>
        <w:widowControl/>
        <w:suppressLineNumbers w:val="0"/>
        <w:spacing w:after="0" w:line="240" w:lineRule="auto"/>
        <w:jc w:val="center"/>
        <w:textAlignment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《天河区农村集体资产交易租赁合同》补充协议——水电使用</w:t>
      </w:r>
    </w:p>
    <w:p w14:paraId="33F48D32">
      <w:pPr>
        <w:keepNext w:val="0"/>
        <w:keepLines w:val="0"/>
        <w:pageBreakBefore w:val="0"/>
        <w:widowControl w:val="0"/>
        <w:kinsoku/>
        <w:wordWrap/>
        <w:overflowPunct/>
        <w:topLinePunct w:val="0"/>
        <w:autoSpaceDE/>
        <w:autoSpaceDN/>
        <w:bidi w:val="0"/>
        <w:adjustRightInd/>
        <w:snapToGrid/>
        <w:spacing w:line="380" w:lineRule="exact"/>
        <w:textAlignment w:val="auto"/>
        <w:rPr>
          <w:rFonts w:ascii="楷体_GB2312" w:hAnsi="楷体_GB2312" w:eastAsia="楷体_GB2312" w:cs="楷体_GB2312"/>
          <w:sz w:val="24"/>
          <w:szCs w:val="24"/>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24"/>
          <w:szCs w:val="24"/>
        </w:rPr>
        <w:t xml:space="preserve"> 甲方：</w:t>
      </w:r>
      <w:r>
        <w:rPr>
          <w:rFonts w:hint="eastAsia" w:ascii="楷体_GB2312" w:hAnsi="楷体_GB2312" w:eastAsia="楷体_GB2312" w:cs="楷体_GB2312"/>
          <w:sz w:val="24"/>
          <w:szCs w:val="24"/>
          <w:lang w:val="en-US" w:eastAsia="zh-CN"/>
        </w:rPr>
        <w:t>广州市骏凯置业有限公司</w:t>
      </w:r>
      <w:r>
        <w:rPr>
          <w:rFonts w:hint="eastAsia" w:ascii="楷体_GB2312" w:hAnsi="楷体_GB2312" w:eastAsia="楷体_GB2312" w:cs="楷体_GB2312"/>
          <w:sz w:val="24"/>
          <w:szCs w:val="24"/>
        </w:rPr>
        <w:t xml:space="preserve">   </w:t>
      </w:r>
    </w:p>
    <w:p w14:paraId="5923B18A">
      <w:pPr>
        <w:keepNext w:val="0"/>
        <w:keepLines w:val="0"/>
        <w:pageBreakBefore w:val="0"/>
        <w:widowControl w:val="0"/>
        <w:kinsoku/>
        <w:wordWrap/>
        <w:overflowPunct/>
        <w:topLinePunct w:val="0"/>
        <w:autoSpaceDE/>
        <w:autoSpaceDN/>
        <w:bidi w:val="0"/>
        <w:adjustRightInd/>
        <w:snapToGrid/>
        <w:spacing w:line="380" w:lineRule="exact"/>
        <w:textAlignment w:val="auto"/>
        <w:rPr>
          <w:rFonts w:ascii="楷体_GB2312" w:hAnsi="楷体_GB2312" w:eastAsia="楷体_GB2312" w:cs="楷体_GB2312"/>
          <w:sz w:val="24"/>
          <w:szCs w:val="24"/>
        </w:rPr>
      </w:pPr>
      <w:r>
        <w:rPr>
          <w:rFonts w:hint="eastAsia" w:ascii="楷体_GB2312" w:hAnsi="楷体_GB2312" w:eastAsia="楷体_GB2312" w:cs="楷体_GB2312"/>
          <w:sz w:val="24"/>
          <w:szCs w:val="24"/>
        </w:rPr>
        <w:t xml:space="preserve">     乙方： </w:t>
      </w:r>
      <w:r>
        <w:rPr>
          <w:rFonts w:ascii="楷体_GB2312" w:hAnsi="楷体_GB2312" w:eastAsia="楷体_GB2312" w:cs="楷体_GB2312"/>
          <w:sz w:val="24"/>
          <w:szCs w:val="24"/>
        </w:rPr>
        <w:t xml:space="preserve">   </w:t>
      </w:r>
    </w:p>
    <w:p w14:paraId="2717A221">
      <w:pPr>
        <w:keepNext w:val="0"/>
        <w:keepLines w:val="0"/>
        <w:pageBreakBefore w:val="0"/>
        <w:widowControl w:val="0"/>
        <w:tabs>
          <w:tab w:val="left" w:pos="540"/>
          <w:tab w:val="left" w:pos="580"/>
        </w:tabs>
        <w:kinsoku/>
        <w:wordWrap/>
        <w:overflowPunct/>
        <w:topLinePunct w:val="0"/>
        <w:autoSpaceDE/>
        <w:autoSpaceDN/>
        <w:bidi w:val="0"/>
        <w:adjustRightInd/>
        <w:snapToGrid/>
        <w:spacing w:line="380" w:lineRule="exact"/>
        <w:ind w:firstLine="555"/>
        <w:textAlignment w:val="auto"/>
        <w:rPr>
          <w:rFonts w:ascii="楷体_GB2312" w:hAnsi="楷体_GB2312" w:eastAsia="楷体_GB2312" w:cs="楷体_GB2312"/>
          <w:sz w:val="24"/>
          <w:szCs w:val="24"/>
        </w:rPr>
      </w:pPr>
      <w:r>
        <w:rPr>
          <w:rFonts w:hint="eastAsia" w:ascii="楷体_GB2312" w:hAnsi="楷体_GB2312" w:eastAsia="楷体_GB2312" w:cs="楷体_GB2312"/>
          <w:sz w:val="24"/>
          <w:szCs w:val="24"/>
        </w:rPr>
        <w:t>甲乙双方在</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年</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月</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 xml:space="preserve">日签订了《天河区农村集体资产交易租赁合同》（ </w:t>
      </w:r>
      <w:r>
        <w:rPr>
          <w:rFonts w:ascii="楷体_GB2312" w:hAnsi="楷体_GB2312" w:eastAsia="楷体_GB2312" w:cs="楷体_GB2312"/>
          <w:sz w:val="24"/>
          <w:szCs w:val="24"/>
        </w:rPr>
        <w:t xml:space="preserve">          </w:t>
      </w:r>
      <w:r>
        <w:rPr>
          <w:rFonts w:hint="eastAsia" w:ascii="楷体_GB2312" w:hAnsi="楷体_GB2312" w:eastAsia="楷体_GB2312" w:cs="楷体_GB2312"/>
          <w:sz w:val="24"/>
          <w:szCs w:val="24"/>
        </w:rPr>
        <w:t>），约定乙方承租甲方位于石牌东路87、89、91、93、95、97号</w:t>
      </w:r>
      <w:r>
        <w:rPr>
          <w:rFonts w:hint="eastAsia" w:ascii="楷体_GB2312" w:hAnsi="楷体_GB2312" w:eastAsia="楷体_GB2312" w:cs="楷体_GB2312"/>
          <w:sz w:val="24"/>
          <w:szCs w:val="24"/>
          <w:u w:val="single"/>
        </w:rPr>
        <w:t xml:space="preserve"> </w:t>
      </w:r>
      <w:r>
        <w:rPr>
          <w:rFonts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面积为</w:t>
      </w:r>
      <w:r>
        <w:rPr>
          <w:rFonts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平方米的物业，租赁期限从</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年</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月</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日起至</w:t>
      </w:r>
      <w:r>
        <w:rPr>
          <w:rFonts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年</w:t>
      </w:r>
      <w:r>
        <w:rPr>
          <w:rFonts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月</w:t>
      </w:r>
      <w:r>
        <w:rPr>
          <w:rFonts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日止。为了明确双方的权利义务，根据《中华人民共和国民法典》及国家、省、市关于水、电的有关法律、法规和规章，双方经协商一致，订立本补充协议。</w:t>
      </w:r>
    </w:p>
    <w:p w14:paraId="7AAB8B2C">
      <w:pPr>
        <w:keepNext w:val="0"/>
        <w:keepLines w:val="0"/>
        <w:pageBreakBefore w:val="0"/>
        <w:widowControl w:val="0"/>
        <w:numPr>
          <w:ilvl w:val="0"/>
          <w:numId w:val="8"/>
        </w:numPr>
        <w:kinsoku/>
        <w:wordWrap/>
        <w:overflowPunct/>
        <w:topLinePunct w:val="0"/>
        <w:autoSpaceDE/>
        <w:autoSpaceDN/>
        <w:bidi w:val="0"/>
        <w:adjustRightInd/>
        <w:snapToGrid/>
        <w:spacing w:line="380" w:lineRule="exact"/>
        <w:ind w:firstLine="480" w:firstLineChars="200"/>
        <w:textAlignment w:val="auto"/>
        <w:rPr>
          <w:rFonts w:ascii="楷体_GB2312" w:hAnsi="楷体_GB2312" w:eastAsia="楷体_GB2312" w:cs="楷体_GB2312"/>
          <w:sz w:val="24"/>
          <w:szCs w:val="24"/>
          <w:u w:val="single"/>
        </w:rPr>
      </w:pPr>
      <w:r>
        <w:rPr>
          <w:rFonts w:hint="eastAsia" w:ascii="楷体_GB2312" w:hAnsi="楷体_GB2312" w:eastAsia="楷体_GB2312" w:cs="楷体_GB2312"/>
          <w:sz w:val="24"/>
          <w:szCs w:val="24"/>
        </w:rPr>
        <w:t>物业内的全部水、电设备设施归甲方所有。租赁期内，甲方同意乙方使用物业内的水、电设备设施，包括但不限于水表、电表、高低压电缆、变压器、高低压配电机、加压设备、消防供水系统设备、水箱、管道。</w:t>
      </w:r>
    </w:p>
    <w:p w14:paraId="73D3B499">
      <w:pPr>
        <w:keepNext w:val="0"/>
        <w:keepLines w:val="0"/>
        <w:pageBreakBefore w:val="0"/>
        <w:widowControl w:val="0"/>
        <w:numPr>
          <w:ilvl w:val="0"/>
          <w:numId w:val="9"/>
        </w:numPr>
        <w:kinsoku/>
        <w:wordWrap/>
        <w:overflowPunct/>
        <w:topLinePunct w:val="0"/>
        <w:autoSpaceDE/>
        <w:autoSpaceDN/>
        <w:bidi w:val="0"/>
        <w:adjustRightInd/>
        <w:snapToGrid/>
        <w:spacing w:line="380" w:lineRule="exact"/>
        <w:ind w:firstLine="480" w:firstLineChars="200"/>
        <w:textAlignment w:val="auto"/>
        <w:rPr>
          <w:rFonts w:ascii="楷体_GB2312" w:hAnsi="楷体_GB2312" w:eastAsia="楷体_GB2312" w:cs="楷体_GB2312"/>
          <w:sz w:val="24"/>
          <w:szCs w:val="24"/>
        </w:rPr>
      </w:pPr>
      <w:r>
        <w:rPr>
          <w:rFonts w:hint="eastAsia" w:ascii="楷体_GB2312" w:hAnsi="楷体_GB2312" w:eastAsia="楷体_GB2312" w:cs="楷体_GB2312"/>
          <w:sz w:val="24"/>
          <w:szCs w:val="24"/>
        </w:rPr>
        <w:t>乙方为物业内水、电设备设施的消防、安全第一责任人，如发生财产损失、人身伤亡等安全事故的，由乙方承担一切法律经济责任。</w:t>
      </w:r>
    </w:p>
    <w:p w14:paraId="2348C921">
      <w:pPr>
        <w:keepNext w:val="0"/>
        <w:keepLines w:val="0"/>
        <w:pageBreakBefore w:val="0"/>
        <w:widowControl w:val="0"/>
        <w:numPr>
          <w:ilvl w:val="0"/>
          <w:numId w:val="9"/>
        </w:numPr>
        <w:kinsoku/>
        <w:wordWrap/>
        <w:overflowPunct/>
        <w:topLinePunct w:val="0"/>
        <w:autoSpaceDE/>
        <w:autoSpaceDN/>
        <w:bidi w:val="0"/>
        <w:adjustRightInd/>
        <w:snapToGrid/>
        <w:spacing w:line="380" w:lineRule="exact"/>
        <w:ind w:firstLine="480" w:firstLineChars="200"/>
        <w:textAlignment w:val="auto"/>
        <w:rPr>
          <w:rFonts w:ascii="楷体_GB2312" w:hAnsi="楷体_GB2312" w:eastAsia="楷体_GB2312" w:cs="楷体_GB2312"/>
          <w:sz w:val="24"/>
          <w:szCs w:val="24"/>
        </w:rPr>
      </w:pPr>
      <w:r>
        <w:rPr>
          <w:rFonts w:hint="eastAsia" w:ascii="楷体_GB2312" w:hAnsi="楷体_GB2312" w:eastAsia="楷体_GB2312" w:cs="楷体_GB2312"/>
          <w:sz w:val="24"/>
          <w:szCs w:val="24"/>
        </w:rPr>
        <w:t>如乙方要求新装用电、用水或增加用电、用水容量、变更用电用水的，应取得甲方书面及政府部门的同意，经同意后所需要材料、人工费用等全部由乙方承担，新装、增加或变更用电、用水后所建的设备、设施归甲方所有。</w:t>
      </w:r>
    </w:p>
    <w:p w14:paraId="2209A62F">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楷体_GB2312" w:hAnsi="楷体_GB2312" w:eastAsia="楷体_GB2312" w:cs="楷体_GB2312"/>
          <w:sz w:val="24"/>
          <w:szCs w:val="24"/>
        </w:rPr>
      </w:pPr>
      <w:r>
        <w:rPr>
          <w:rFonts w:hint="eastAsia" w:ascii="楷体_GB2312" w:hAnsi="楷体_GB2312" w:eastAsia="楷体_GB2312" w:cs="楷体_GB2312"/>
          <w:sz w:val="24"/>
          <w:szCs w:val="24"/>
        </w:rPr>
        <w:t>四、乙方应爱护水、电设备设施，保证这些设施符合国家规定的安全使用标准并确保其处于正常、安全、完整、整洁的使用状态；同时应定期对水、电设备设施进行检修保养、维护、维修并登记造册，承担所需的一切费用。如水电设备设施出现损坏或发生故障，乙方应负责及时修缮或维修，乙方拒不维修或修缮的，由甲方代为维修或修缮，维修和修缮的费用由乙方承担。如因乙方原因造成甲方、第三方损失的，乙方应负赔偿责任。</w:t>
      </w:r>
    </w:p>
    <w:p w14:paraId="55D7727F">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楷体_GB2312" w:hAnsi="楷体_GB2312" w:eastAsia="楷体_GB2312" w:cs="楷体_GB2312"/>
          <w:sz w:val="24"/>
          <w:szCs w:val="24"/>
        </w:rPr>
      </w:pPr>
      <w:r>
        <w:rPr>
          <w:rFonts w:hint="eastAsia" w:ascii="楷体_GB2312" w:hAnsi="楷体_GB2312" w:eastAsia="楷体_GB2312" w:cs="楷体_GB2312"/>
          <w:sz w:val="24"/>
          <w:szCs w:val="24"/>
        </w:rPr>
        <w:t>五、用电</w:t>
      </w:r>
    </w:p>
    <w:p w14:paraId="337E4F8A">
      <w:pPr>
        <w:keepNext w:val="0"/>
        <w:keepLines w:val="0"/>
        <w:pageBreakBefore w:val="0"/>
        <w:widowControl w:val="0"/>
        <w:kinsoku/>
        <w:wordWrap/>
        <w:overflowPunct/>
        <w:topLinePunct w:val="0"/>
        <w:autoSpaceDE/>
        <w:autoSpaceDN/>
        <w:bidi w:val="0"/>
        <w:adjustRightInd/>
        <w:snapToGrid/>
        <w:spacing w:line="380" w:lineRule="exact"/>
        <w:textAlignment w:val="auto"/>
        <w:rPr>
          <w:rFonts w:ascii="楷体_GB2312" w:hAnsi="楷体_GB2312" w:eastAsia="楷体_GB2312" w:cs="楷体_GB2312"/>
          <w:sz w:val="24"/>
          <w:szCs w:val="24"/>
        </w:rPr>
      </w:pPr>
      <w:r>
        <w:rPr>
          <w:rFonts w:hint="eastAsia" w:ascii="楷体_GB2312" w:hAnsi="楷体_GB2312" w:eastAsia="楷体_GB2312" w:cs="楷体_GB2312"/>
          <w:sz w:val="24"/>
          <w:szCs w:val="24"/>
        </w:rPr>
        <w:t xml:space="preserve">   （一）电费。电费的交纳时间与每月租金交纳时间一致，乙方自行到甲方指定地点交纳。</w:t>
      </w:r>
    </w:p>
    <w:p w14:paraId="015A7C88">
      <w:pPr>
        <w:keepNext w:val="0"/>
        <w:keepLines w:val="0"/>
        <w:pageBreakBefore w:val="0"/>
        <w:widowControl w:val="0"/>
        <w:kinsoku/>
        <w:wordWrap/>
        <w:overflowPunct/>
        <w:topLinePunct w:val="0"/>
        <w:autoSpaceDE/>
        <w:autoSpaceDN/>
        <w:bidi w:val="0"/>
        <w:adjustRightInd/>
        <w:snapToGrid/>
        <w:spacing w:line="380" w:lineRule="exact"/>
        <w:textAlignment w:val="auto"/>
        <w:rPr>
          <w:rFonts w:ascii="楷体_GB2312" w:hAnsi="楷体_GB2312" w:eastAsia="楷体_GB2312" w:cs="楷体_GB2312"/>
          <w:sz w:val="24"/>
          <w:szCs w:val="24"/>
        </w:rPr>
      </w:pPr>
      <w:r>
        <w:rPr>
          <w:rFonts w:hint="eastAsia" w:ascii="楷体_GB2312" w:hAnsi="楷体_GB2312" w:eastAsia="楷体_GB2312" w:cs="楷体_GB2312"/>
          <w:sz w:val="24"/>
          <w:szCs w:val="24"/>
        </w:rPr>
        <w:t xml:space="preserve">    1、电费由乙方按政府供电部门制定的收费标准按实用数计算；</w:t>
      </w:r>
    </w:p>
    <w:p w14:paraId="31E46545">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楷体_GB2312" w:hAnsi="楷体_GB2312" w:eastAsia="楷体_GB2312" w:cs="楷体_GB2312"/>
          <w:sz w:val="24"/>
          <w:szCs w:val="24"/>
        </w:rPr>
      </w:pPr>
      <w:r>
        <w:rPr>
          <w:rFonts w:hint="eastAsia" w:ascii="楷体_GB2312" w:hAnsi="楷体_GB2312" w:eastAsia="楷体_GB2312" w:cs="楷体_GB2312"/>
          <w:sz w:val="24"/>
          <w:szCs w:val="24"/>
        </w:rPr>
        <w:t>2、公用设备部分电费由各承租人分摊。</w:t>
      </w:r>
    </w:p>
    <w:p w14:paraId="1A2CA865">
      <w:pPr>
        <w:keepNext w:val="0"/>
        <w:keepLines w:val="0"/>
        <w:pageBreakBefore w:val="0"/>
        <w:widowControl w:val="0"/>
        <w:kinsoku/>
        <w:wordWrap/>
        <w:overflowPunct/>
        <w:topLinePunct w:val="0"/>
        <w:autoSpaceDE/>
        <w:autoSpaceDN/>
        <w:bidi w:val="0"/>
        <w:adjustRightInd/>
        <w:snapToGrid/>
        <w:spacing w:line="380" w:lineRule="exact"/>
        <w:ind w:firstLine="240" w:firstLineChars="100"/>
        <w:textAlignment w:val="auto"/>
        <w:rPr>
          <w:rFonts w:ascii="楷体_GB2312" w:hAnsi="楷体_GB2312" w:eastAsia="楷体_GB2312" w:cs="楷体_GB2312"/>
          <w:sz w:val="24"/>
          <w:szCs w:val="24"/>
        </w:rPr>
      </w:pPr>
      <w:r>
        <w:rPr>
          <w:rFonts w:hint="eastAsia" w:ascii="楷体_GB2312" w:hAnsi="楷体_GB2312" w:eastAsia="楷体_GB2312" w:cs="楷体_GB2312"/>
          <w:sz w:val="24"/>
          <w:szCs w:val="24"/>
        </w:rPr>
        <w:t>（二）市场档铺用电设备设施损坏由市场统一更换，材料费用由乙方支付。</w:t>
      </w:r>
    </w:p>
    <w:p w14:paraId="175C9CE4">
      <w:pPr>
        <w:keepNext w:val="0"/>
        <w:keepLines w:val="0"/>
        <w:pageBreakBefore w:val="0"/>
        <w:widowControl w:val="0"/>
        <w:kinsoku/>
        <w:wordWrap/>
        <w:overflowPunct/>
        <w:topLinePunct w:val="0"/>
        <w:autoSpaceDE/>
        <w:autoSpaceDN/>
        <w:bidi w:val="0"/>
        <w:adjustRightInd/>
        <w:snapToGrid/>
        <w:spacing w:line="380" w:lineRule="exact"/>
        <w:textAlignment w:val="auto"/>
        <w:rPr>
          <w:rFonts w:ascii="楷体_GB2312" w:hAnsi="楷体_GB2312" w:eastAsia="楷体_GB2312" w:cs="楷体_GB2312"/>
          <w:sz w:val="24"/>
          <w:szCs w:val="24"/>
        </w:rPr>
      </w:pPr>
      <w:r>
        <w:rPr>
          <w:rFonts w:hint="eastAsia" w:ascii="楷体_GB2312" w:hAnsi="楷体_GB2312" w:eastAsia="楷体_GB2312" w:cs="楷体_GB2312"/>
          <w:sz w:val="24"/>
          <w:szCs w:val="24"/>
        </w:rPr>
        <w:t xml:space="preserve">  （三）乙方应防止发生用电设备事故和错误操作。严禁用电设备和保护装置乱装乱接并积极配合甲方做好安全工作。</w:t>
      </w:r>
    </w:p>
    <w:p w14:paraId="06BB2B21">
      <w:pPr>
        <w:keepNext w:val="0"/>
        <w:keepLines w:val="0"/>
        <w:pageBreakBefore w:val="0"/>
        <w:widowControl w:val="0"/>
        <w:kinsoku/>
        <w:wordWrap/>
        <w:overflowPunct/>
        <w:topLinePunct w:val="0"/>
        <w:autoSpaceDE/>
        <w:autoSpaceDN/>
        <w:bidi w:val="0"/>
        <w:adjustRightInd/>
        <w:snapToGrid/>
        <w:spacing w:line="380" w:lineRule="exact"/>
        <w:textAlignment w:val="auto"/>
        <w:rPr>
          <w:rFonts w:ascii="楷体_GB2312" w:hAnsi="楷体_GB2312" w:eastAsia="楷体_GB2312" w:cs="楷体_GB2312"/>
          <w:sz w:val="24"/>
          <w:szCs w:val="24"/>
        </w:rPr>
      </w:pPr>
      <w:r>
        <w:rPr>
          <w:rFonts w:hint="eastAsia" w:ascii="楷体_GB2312" w:hAnsi="楷体_GB2312" w:eastAsia="楷体_GB2312" w:cs="楷体_GB2312"/>
          <w:sz w:val="24"/>
          <w:szCs w:val="24"/>
        </w:rPr>
        <w:t xml:space="preserve">   （四）乙方如因违章使用设备或超出负荷使用电器设备而造成用电设备烧毁，配件、设备抢修所有一切经济损失由乙方负责。</w:t>
      </w:r>
    </w:p>
    <w:p w14:paraId="2D4548FE">
      <w:pPr>
        <w:keepNext w:val="0"/>
        <w:keepLines w:val="0"/>
        <w:pageBreakBefore w:val="0"/>
        <w:widowControl w:val="0"/>
        <w:kinsoku/>
        <w:wordWrap/>
        <w:overflowPunct/>
        <w:topLinePunct w:val="0"/>
        <w:autoSpaceDE/>
        <w:autoSpaceDN/>
        <w:bidi w:val="0"/>
        <w:adjustRightInd/>
        <w:snapToGrid/>
        <w:spacing w:line="380" w:lineRule="exact"/>
        <w:textAlignment w:val="auto"/>
        <w:rPr>
          <w:rFonts w:ascii="楷体_GB2312" w:hAnsi="楷体_GB2312" w:eastAsia="楷体_GB2312" w:cs="楷体_GB2312"/>
          <w:sz w:val="24"/>
          <w:szCs w:val="24"/>
        </w:rPr>
      </w:pPr>
      <w:r>
        <w:rPr>
          <w:rFonts w:hint="eastAsia" w:ascii="楷体_GB2312" w:hAnsi="楷体_GB2312" w:eastAsia="楷体_GB2312" w:cs="楷体_GB2312"/>
          <w:sz w:val="24"/>
          <w:szCs w:val="24"/>
        </w:rPr>
        <w:t xml:space="preserve">   （五）配电房配置应符合安全规范，电房内不准摆放一切杂物及聚众闲谈，并要保持电房内环境卫生清洁、通风、并配置足够防灭火器材。</w:t>
      </w:r>
    </w:p>
    <w:p w14:paraId="72AB997A">
      <w:pPr>
        <w:keepNext w:val="0"/>
        <w:keepLines w:val="0"/>
        <w:pageBreakBefore w:val="0"/>
        <w:widowControl w:val="0"/>
        <w:kinsoku/>
        <w:wordWrap/>
        <w:overflowPunct/>
        <w:topLinePunct w:val="0"/>
        <w:autoSpaceDE/>
        <w:autoSpaceDN/>
        <w:bidi w:val="0"/>
        <w:adjustRightInd/>
        <w:snapToGrid/>
        <w:spacing w:line="380" w:lineRule="exact"/>
        <w:textAlignment w:val="auto"/>
        <w:rPr>
          <w:rFonts w:ascii="楷体_GB2312" w:hAnsi="楷体_GB2312" w:eastAsia="楷体_GB2312" w:cs="楷体_GB2312"/>
          <w:sz w:val="24"/>
          <w:szCs w:val="24"/>
        </w:rPr>
      </w:pPr>
      <w:r>
        <w:rPr>
          <w:rFonts w:hint="eastAsia" w:ascii="楷体_GB2312" w:hAnsi="楷体_GB2312" w:eastAsia="楷体_GB2312" w:cs="楷体_GB2312"/>
          <w:sz w:val="24"/>
          <w:szCs w:val="24"/>
        </w:rPr>
        <w:t xml:space="preserve">   （六）乙方负责所有高低压设施的保养、维护、维修和更新配件工作，每年应委托供电部门或相关有资质的职能部门对高低压设备设施进行保养、维护维修和更新配件工作，并承担所涉一切费用；如因乙方原因发生不良事故的，一切法律和经济责任由乙方承担。</w:t>
      </w:r>
    </w:p>
    <w:p w14:paraId="44ACC8BE">
      <w:pPr>
        <w:keepNext w:val="0"/>
        <w:keepLines w:val="0"/>
        <w:pageBreakBefore w:val="0"/>
        <w:widowControl w:val="0"/>
        <w:kinsoku/>
        <w:wordWrap/>
        <w:overflowPunct/>
        <w:topLinePunct w:val="0"/>
        <w:autoSpaceDE/>
        <w:autoSpaceDN/>
        <w:bidi w:val="0"/>
        <w:adjustRightInd/>
        <w:snapToGrid/>
        <w:spacing w:line="380" w:lineRule="exact"/>
        <w:textAlignment w:val="auto"/>
        <w:rPr>
          <w:rFonts w:ascii="楷体_GB2312" w:hAnsi="楷体_GB2312" w:eastAsia="楷体_GB2312" w:cs="楷体_GB2312"/>
          <w:sz w:val="24"/>
          <w:szCs w:val="24"/>
        </w:rPr>
      </w:pPr>
      <w:r>
        <w:rPr>
          <w:rFonts w:hint="eastAsia" w:ascii="楷体_GB2312" w:hAnsi="楷体_GB2312" w:eastAsia="楷体_GB2312" w:cs="楷体_GB2312"/>
          <w:sz w:val="24"/>
          <w:szCs w:val="24"/>
        </w:rPr>
        <w:t xml:space="preserve">    （七）甲方有权检查或配合供电部门检查乙方的用电情况，乙方应予以配合，对甲方或供电部门提出的安全用电隐患要及时整改，并将整改后的情况反馈给甲方。因乙方不配合用电检查工作影响正常用电的，甲方不予负责。</w:t>
      </w:r>
    </w:p>
    <w:p w14:paraId="00AF266A">
      <w:pPr>
        <w:keepNext w:val="0"/>
        <w:keepLines w:val="0"/>
        <w:pageBreakBefore w:val="0"/>
        <w:widowControl w:val="0"/>
        <w:kinsoku/>
        <w:wordWrap/>
        <w:overflowPunct/>
        <w:topLinePunct w:val="0"/>
        <w:autoSpaceDE/>
        <w:autoSpaceDN/>
        <w:bidi w:val="0"/>
        <w:adjustRightInd/>
        <w:snapToGrid/>
        <w:spacing w:line="380" w:lineRule="exact"/>
        <w:textAlignment w:val="auto"/>
        <w:rPr>
          <w:rFonts w:ascii="楷体_GB2312" w:hAnsi="楷体_GB2312" w:eastAsia="楷体_GB2312" w:cs="楷体_GB2312"/>
          <w:sz w:val="24"/>
          <w:szCs w:val="24"/>
        </w:rPr>
      </w:pPr>
      <w:r>
        <w:rPr>
          <w:rFonts w:hint="eastAsia" w:ascii="楷体_GB2312" w:hAnsi="楷体_GB2312" w:eastAsia="楷体_GB2312" w:cs="楷体_GB2312"/>
          <w:sz w:val="24"/>
          <w:szCs w:val="24"/>
        </w:rPr>
        <w:t xml:space="preserve">    （八）乙方应按期进行季节性安全检查和电气设备预防性试验，进行预防性试验的单位必须具备电力监管部门认可的资质。发现问题及时处理。发生重大设备及人身事故时，应及时向甲方及供电部门报告。</w:t>
      </w:r>
    </w:p>
    <w:p w14:paraId="5D956363">
      <w:pPr>
        <w:keepNext w:val="0"/>
        <w:keepLines w:val="0"/>
        <w:pageBreakBefore w:val="0"/>
        <w:widowControl w:val="0"/>
        <w:kinsoku/>
        <w:wordWrap/>
        <w:overflowPunct/>
        <w:topLinePunct w:val="0"/>
        <w:autoSpaceDE/>
        <w:autoSpaceDN/>
        <w:bidi w:val="0"/>
        <w:adjustRightInd/>
        <w:snapToGrid/>
        <w:spacing w:line="380" w:lineRule="exact"/>
        <w:textAlignment w:val="auto"/>
        <w:rPr>
          <w:rFonts w:ascii="楷体_GB2312" w:hAnsi="楷体_GB2312" w:eastAsia="楷体_GB2312" w:cs="楷体_GB2312"/>
          <w:sz w:val="24"/>
          <w:szCs w:val="24"/>
        </w:rPr>
      </w:pPr>
      <w:r>
        <w:rPr>
          <w:rFonts w:hint="eastAsia" w:ascii="楷体_GB2312" w:hAnsi="楷体_GB2312" w:eastAsia="楷体_GB2312" w:cs="楷体_GB2312"/>
          <w:sz w:val="24"/>
          <w:szCs w:val="24"/>
        </w:rPr>
        <w:t xml:space="preserve">    乙方接入供电部门电源后，若要自建电源的，应报供电部门备案。乙方的自备只作备用或保安用途，不得并网运行也不得以自备电源为其主电源，否则，影响电网运行安全的，乙方应承担给供电部门及第三方造成的损失。</w:t>
      </w:r>
    </w:p>
    <w:p w14:paraId="096BD1AC">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楷体_GB2312" w:hAnsi="楷体_GB2312" w:eastAsia="楷体_GB2312" w:cs="楷体_GB2312"/>
          <w:sz w:val="24"/>
          <w:szCs w:val="24"/>
        </w:rPr>
      </w:pPr>
      <w:r>
        <w:rPr>
          <w:rFonts w:hint="eastAsia" w:ascii="楷体_GB2312" w:hAnsi="楷体_GB2312" w:eastAsia="楷体_GB2312" w:cs="楷体_GB2312"/>
          <w:sz w:val="24"/>
          <w:szCs w:val="24"/>
        </w:rPr>
        <w:t>（九）乙方应妥善保管好供电部门安装的用电计量装置设施，如有异常，应及时通知甲方及供电部门。</w:t>
      </w:r>
    </w:p>
    <w:p w14:paraId="298656B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楷体_GB2312" w:hAnsi="楷体_GB2312" w:eastAsia="楷体_GB2312" w:cs="楷体_GB2312"/>
          <w:sz w:val="24"/>
          <w:szCs w:val="24"/>
        </w:rPr>
      </w:pPr>
      <w:r>
        <w:rPr>
          <w:rFonts w:hint="eastAsia" w:ascii="楷体_GB2312" w:hAnsi="楷体_GB2312" w:eastAsia="楷体_GB2312" w:cs="楷体_GB2312"/>
          <w:sz w:val="24"/>
          <w:szCs w:val="24"/>
        </w:rPr>
        <w:t>（十）乙方在供电系统上作业的电工，必须持有电力管理职能部门颁发的有效上岗证并登记备案，按供电规范要求配备足够的上岗值班人员；维护使用的高低压用具必须定期送检，确保安全合格，否则，因此产生的一切责任由乙方承担。</w:t>
      </w:r>
    </w:p>
    <w:p w14:paraId="7C7EAD7C">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楷体_GB2312" w:hAnsi="楷体_GB2312" w:eastAsia="楷体_GB2312" w:cs="楷体_GB2312"/>
          <w:sz w:val="24"/>
          <w:szCs w:val="24"/>
        </w:rPr>
      </w:pPr>
      <w:r>
        <w:rPr>
          <w:rFonts w:hint="eastAsia" w:ascii="楷体_GB2312" w:hAnsi="楷体_GB2312" w:eastAsia="楷体_GB2312" w:cs="楷体_GB2312"/>
          <w:sz w:val="24"/>
          <w:szCs w:val="24"/>
        </w:rPr>
        <w:t>（十一）乙方应依法用电，不得从事危害供、用电安全、扰乱供、用电秩序的行为，不得以任何方式窃电，否则因此给甲方、第三方造成的一切损失，由乙方承担；构成犯罪的，甲方有权提请司法机关依法追究刑事责任。</w:t>
      </w:r>
    </w:p>
    <w:p w14:paraId="249C82F6">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楷体_GB2312" w:hAnsi="楷体_GB2312" w:eastAsia="楷体_GB2312" w:cs="楷体_GB2312"/>
          <w:sz w:val="24"/>
          <w:szCs w:val="24"/>
        </w:rPr>
      </w:pPr>
      <w:r>
        <w:rPr>
          <w:rFonts w:hint="eastAsia" w:ascii="楷体_GB2312" w:hAnsi="楷体_GB2312" w:eastAsia="楷体_GB2312" w:cs="楷体_GB2312"/>
          <w:sz w:val="24"/>
          <w:szCs w:val="24"/>
        </w:rPr>
        <w:t>（十二）乙方应当按照不同时期的电力供应情况以及当地政府计划用电管理部门的要求，实行计划用电和错峰用电。</w:t>
      </w:r>
    </w:p>
    <w:p w14:paraId="07752F3C">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楷体_GB2312" w:hAnsi="楷体_GB2312" w:eastAsia="楷体_GB2312" w:cs="楷体_GB2312"/>
          <w:sz w:val="24"/>
          <w:szCs w:val="24"/>
        </w:rPr>
      </w:pPr>
      <w:r>
        <w:rPr>
          <w:rFonts w:hint="eastAsia" w:ascii="楷体_GB2312" w:hAnsi="楷体_GB2312" w:eastAsia="楷体_GB2312" w:cs="楷体_GB2312"/>
          <w:sz w:val="24"/>
          <w:szCs w:val="24"/>
        </w:rPr>
        <w:t>（十三）为保障电网安全或因发电、供电系统发生故障等原因，政府供电部门需要停电、限电时，乙方应予以配合。</w:t>
      </w:r>
    </w:p>
    <w:p w14:paraId="18AFD851">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olor w:val="000000"/>
          <w:kern w:val="0"/>
          <w:sz w:val="24"/>
          <w:szCs w:val="24"/>
          <w:u w:val="none"/>
          <w:lang w:val="en-US" w:eastAsia="zh-CN" w:bidi="ar"/>
        </w:rPr>
      </w:pPr>
      <w:r>
        <w:rPr>
          <w:rFonts w:hint="eastAsia" w:ascii="楷体_GB2312" w:hAnsi="楷体_GB2312" w:eastAsia="楷体_GB2312" w:cs="楷体_GB2312"/>
          <w:sz w:val="24"/>
          <w:szCs w:val="24"/>
        </w:rPr>
        <w:t>（十四）乙方所使用的电闸箱和用电设备，必须保证各种用电设备、设施运作良好，</w:t>
      </w:r>
      <w:r>
        <w:rPr>
          <w:rFonts w:hint="eastAsia" w:ascii="仿宋" w:hAnsi="仿宋" w:eastAsia="仿宋" w:cs="仿宋"/>
          <w:i w:val="0"/>
          <w:iCs w:val="0"/>
          <w:color w:val="000000"/>
          <w:kern w:val="0"/>
          <w:sz w:val="24"/>
          <w:szCs w:val="24"/>
          <w:u w:val="none"/>
          <w:lang w:val="en-US" w:eastAsia="zh-CN" w:bidi="ar"/>
        </w:rPr>
        <w:t>规范用电，保证操作人员的人身安全。</w:t>
      </w:r>
    </w:p>
    <w:p w14:paraId="28A4228F">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楷体_GB2312" w:hAnsi="楷体_GB2312" w:eastAsia="楷体_GB2312" w:cs="楷体_GB2312"/>
          <w:sz w:val="24"/>
          <w:szCs w:val="24"/>
        </w:rPr>
      </w:pPr>
      <w:r>
        <w:rPr>
          <w:rFonts w:hint="eastAsia" w:ascii="楷体_GB2312" w:hAnsi="楷体_GB2312" w:eastAsia="楷体_GB2312" w:cs="楷体_GB2312"/>
          <w:sz w:val="24"/>
          <w:szCs w:val="24"/>
        </w:rPr>
        <w:t>（十五）应定期对上岗值班人员进行日常安全学习，加强安全生产意识。</w:t>
      </w:r>
    </w:p>
    <w:p w14:paraId="17AEB603">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楷体_GB2312" w:hAnsi="楷体_GB2312" w:eastAsia="楷体_GB2312" w:cs="楷体_GB2312"/>
          <w:sz w:val="24"/>
          <w:szCs w:val="24"/>
        </w:rPr>
      </w:pPr>
      <w:r>
        <w:rPr>
          <w:rFonts w:hint="eastAsia" w:ascii="楷体_GB2312" w:hAnsi="楷体_GB2312" w:eastAsia="楷体_GB2312" w:cs="楷体_GB2312"/>
          <w:sz w:val="24"/>
          <w:szCs w:val="24"/>
        </w:rPr>
        <w:t>（十六）不得私自向第三人转供电；不得擅自向租赁物业以外供电。</w:t>
      </w:r>
    </w:p>
    <w:p w14:paraId="03636754">
      <w:pPr>
        <w:keepNext w:val="0"/>
        <w:keepLines w:val="0"/>
        <w:pageBreakBefore w:val="0"/>
        <w:widowControl w:val="0"/>
        <w:tabs>
          <w:tab w:val="left" w:pos="5353"/>
        </w:tabs>
        <w:kinsoku/>
        <w:wordWrap/>
        <w:overflowPunct/>
        <w:topLinePunct w:val="0"/>
        <w:autoSpaceDE/>
        <w:autoSpaceDN/>
        <w:bidi w:val="0"/>
        <w:adjustRightInd/>
        <w:snapToGrid/>
        <w:spacing w:line="380" w:lineRule="exact"/>
        <w:textAlignment w:val="auto"/>
        <w:rPr>
          <w:rFonts w:ascii="楷体_GB2312" w:hAnsi="楷体_GB2312" w:eastAsia="楷体_GB2312" w:cs="楷体_GB2312"/>
          <w:sz w:val="24"/>
          <w:szCs w:val="24"/>
        </w:rPr>
      </w:pPr>
      <w:r>
        <w:rPr>
          <w:rFonts w:hint="eastAsia" w:ascii="楷体_GB2312" w:hAnsi="楷体_GB2312" w:eastAsia="楷体_GB2312" w:cs="楷体_GB2312"/>
          <w:sz w:val="24"/>
          <w:szCs w:val="24"/>
        </w:rPr>
        <w:t xml:space="preserve">    六、用水</w:t>
      </w:r>
      <w:r>
        <w:rPr>
          <w:rFonts w:hint="eastAsia" w:ascii="楷体_GB2312" w:hAnsi="楷体_GB2312" w:eastAsia="楷体_GB2312" w:cs="楷体_GB2312"/>
          <w:sz w:val="24"/>
          <w:szCs w:val="24"/>
        </w:rPr>
        <w:tab/>
      </w:r>
    </w:p>
    <w:p w14:paraId="0E3AC3E9">
      <w:pPr>
        <w:keepNext w:val="0"/>
        <w:keepLines w:val="0"/>
        <w:pageBreakBefore w:val="0"/>
        <w:widowControl w:val="0"/>
        <w:kinsoku/>
        <w:wordWrap/>
        <w:overflowPunct/>
        <w:topLinePunct w:val="0"/>
        <w:autoSpaceDE/>
        <w:autoSpaceDN/>
        <w:bidi w:val="0"/>
        <w:adjustRightInd/>
        <w:snapToGrid/>
        <w:spacing w:line="380" w:lineRule="exact"/>
        <w:textAlignment w:val="auto"/>
        <w:rPr>
          <w:rFonts w:ascii="楷体_GB2312" w:hAnsi="楷体_GB2312" w:eastAsia="楷体_GB2312" w:cs="楷体_GB2312"/>
          <w:sz w:val="24"/>
          <w:szCs w:val="24"/>
        </w:rPr>
      </w:pPr>
      <w:r>
        <w:rPr>
          <w:rFonts w:hint="eastAsia" w:ascii="楷体_GB2312" w:hAnsi="楷体_GB2312" w:eastAsia="楷体_GB2312" w:cs="楷体_GB2312"/>
          <w:sz w:val="24"/>
          <w:szCs w:val="24"/>
        </w:rPr>
        <w:t xml:space="preserve">    （一）水费和服务费。水费和服务费的交纳时间与每月租金交纳时间一致，乙方自行到甲方指定地点交纳。</w:t>
      </w:r>
    </w:p>
    <w:p w14:paraId="74527C09">
      <w:pPr>
        <w:keepNext w:val="0"/>
        <w:keepLines w:val="0"/>
        <w:pageBreakBefore w:val="0"/>
        <w:widowControl w:val="0"/>
        <w:kinsoku/>
        <w:wordWrap/>
        <w:overflowPunct/>
        <w:topLinePunct w:val="0"/>
        <w:autoSpaceDE/>
        <w:autoSpaceDN/>
        <w:bidi w:val="0"/>
        <w:adjustRightInd/>
        <w:snapToGrid/>
        <w:spacing w:line="380" w:lineRule="exact"/>
        <w:textAlignment w:val="auto"/>
        <w:rPr>
          <w:rFonts w:ascii="楷体_GB2312" w:hAnsi="楷体_GB2312" w:eastAsia="楷体_GB2312" w:cs="楷体_GB2312"/>
          <w:sz w:val="24"/>
          <w:szCs w:val="24"/>
        </w:rPr>
      </w:pPr>
      <w:r>
        <w:rPr>
          <w:rFonts w:hint="eastAsia" w:ascii="楷体_GB2312" w:hAnsi="楷体_GB2312" w:eastAsia="楷体_GB2312" w:cs="楷体_GB2312"/>
          <w:sz w:val="24"/>
          <w:szCs w:val="24"/>
        </w:rPr>
        <w:t xml:space="preserve">    1、水费由乙方按政府供水部门制定的收费标准按实用数计算；</w:t>
      </w:r>
    </w:p>
    <w:p w14:paraId="1E2D383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楷体_GB2312" w:hAnsi="楷体_GB2312" w:eastAsia="楷体_GB2312" w:cs="楷体_GB2312"/>
          <w:sz w:val="24"/>
          <w:szCs w:val="24"/>
        </w:rPr>
      </w:pPr>
      <w:r>
        <w:rPr>
          <w:rFonts w:hint="eastAsia" w:ascii="楷体_GB2312" w:hAnsi="楷体_GB2312" w:eastAsia="楷体_GB2312" w:cs="楷体_GB2312"/>
          <w:sz w:val="24"/>
          <w:szCs w:val="24"/>
        </w:rPr>
        <w:t>2、公用部分水费由各承租人分摊。</w:t>
      </w:r>
    </w:p>
    <w:p w14:paraId="272610C6">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楷体_GB2312" w:hAnsi="楷体_GB2312" w:eastAsia="楷体_GB2312" w:cs="楷体_GB2312"/>
          <w:sz w:val="24"/>
          <w:szCs w:val="24"/>
        </w:rPr>
      </w:pPr>
      <w:r>
        <w:rPr>
          <w:rFonts w:hint="eastAsia" w:ascii="楷体_GB2312" w:hAnsi="楷体_GB2312" w:eastAsia="楷体_GB2312" w:cs="楷体_GB2312"/>
          <w:sz w:val="24"/>
          <w:szCs w:val="24"/>
        </w:rPr>
        <w:t>（二）市场档铺用水设备设施损坏由市场统一更换，材料费用由乙方支付。</w:t>
      </w:r>
    </w:p>
    <w:p w14:paraId="08328BD0">
      <w:pPr>
        <w:keepNext w:val="0"/>
        <w:keepLines w:val="0"/>
        <w:pageBreakBefore w:val="0"/>
        <w:widowControl w:val="0"/>
        <w:kinsoku/>
        <w:wordWrap/>
        <w:overflowPunct/>
        <w:topLinePunct w:val="0"/>
        <w:autoSpaceDE/>
        <w:autoSpaceDN/>
        <w:bidi w:val="0"/>
        <w:adjustRightInd/>
        <w:snapToGrid/>
        <w:spacing w:line="380" w:lineRule="exact"/>
        <w:textAlignment w:val="auto"/>
        <w:rPr>
          <w:rFonts w:ascii="楷体_GB2312" w:hAnsi="楷体_GB2312" w:eastAsia="楷体_GB2312" w:cs="楷体_GB2312"/>
          <w:sz w:val="24"/>
          <w:szCs w:val="24"/>
        </w:rPr>
      </w:pPr>
      <w:r>
        <w:rPr>
          <w:rFonts w:hint="eastAsia" w:ascii="楷体_GB2312" w:hAnsi="楷体_GB2312" w:eastAsia="楷体_GB2312" w:cs="楷体_GB2312"/>
          <w:sz w:val="24"/>
          <w:szCs w:val="24"/>
        </w:rPr>
        <w:t xml:space="preserve">    （三）甲方有权检查或配合政府供水部门检查乙方的用水情况，乙方应按甲方或政府供水部门的建议进行整改，并将整改后的情况反馈给甲方。</w:t>
      </w:r>
    </w:p>
    <w:p w14:paraId="78066B8A">
      <w:pPr>
        <w:keepNext w:val="0"/>
        <w:keepLines w:val="0"/>
        <w:pageBreakBefore w:val="0"/>
        <w:widowControl w:val="0"/>
        <w:kinsoku/>
        <w:wordWrap/>
        <w:overflowPunct/>
        <w:topLinePunct w:val="0"/>
        <w:autoSpaceDE/>
        <w:autoSpaceDN/>
        <w:bidi w:val="0"/>
        <w:adjustRightInd/>
        <w:snapToGrid/>
        <w:spacing w:line="380" w:lineRule="exact"/>
        <w:ind w:firstLine="360" w:firstLineChars="150"/>
        <w:textAlignment w:val="auto"/>
        <w:rPr>
          <w:rFonts w:ascii="楷体_GB2312" w:hAnsi="楷体_GB2312" w:eastAsia="楷体_GB2312" w:cs="楷体_GB2312"/>
          <w:sz w:val="24"/>
          <w:szCs w:val="24"/>
        </w:rPr>
      </w:pPr>
      <w:r>
        <w:rPr>
          <w:rFonts w:hint="eastAsia" w:ascii="楷体_GB2312" w:hAnsi="楷体_GB2312" w:eastAsia="楷体_GB2312" w:cs="楷体_GB2312"/>
          <w:sz w:val="24"/>
          <w:szCs w:val="24"/>
        </w:rPr>
        <w:t>（四）甲方或供水部门进行检修须停水的，乙方应配合并事前做好准备。</w:t>
      </w:r>
    </w:p>
    <w:p w14:paraId="359298FD">
      <w:pPr>
        <w:keepNext w:val="0"/>
        <w:keepLines w:val="0"/>
        <w:pageBreakBefore w:val="0"/>
        <w:widowControl w:val="0"/>
        <w:kinsoku/>
        <w:wordWrap/>
        <w:overflowPunct/>
        <w:topLinePunct w:val="0"/>
        <w:autoSpaceDE/>
        <w:autoSpaceDN/>
        <w:bidi w:val="0"/>
        <w:adjustRightInd/>
        <w:snapToGrid/>
        <w:spacing w:line="380" w:lineRule="exact"/>
        <w:ind w:firstLine="360" w:firstLineChars="150"/>
        <w:textAlignment w:val="auto"/>
        <w:rPr>
          <w:rFonts w:ascii="楷体_GB2312" w:hAnsi="楷体_GB2312" w:eastAsia="楷体_GB2312" w:cs="楷体_GB2312"/>
          <w:sz w:val="24"/>
          <w:szCs w:val="24"/>
        </w:rPr>
      </w:pPr>
      <w:r>
        <w:rPr>
          <w:rFonts w:hint="eastAsia" w:ascii="楷体_GB2312" w:hAnsi="楷体_GB2312" w:eastAsia="楷体_GB2312" w:cs="楷体_GB2312"/>
          <w:sz w:val="24"/>
          <w:szCs w:val="24"/>
        </w:rPr>
        <w:t xml:space="preserve"> （五）乙方保证计费水表、表井（箱）及附属设施完好，必要时，配合供水部门做好对水表等设施的更换、维修工作。</w:t>
      </w:r>
    </w:p>
    <w:p w14:paraId="50633DA8">
      <w:pPr>
        <w:keepNext w:val="0"/>
        <w:keepLines w:val="0"/>
        <w:pageBreakBefore w:val="0"/>
        <w:widowControl w:val="0"/>
        <w:kinsoku/>
        <w:wordWrap/>
        <w:overflowPunct/>
        <w:topLinePunct w:val="0"/>
        <w:autoSpaceDE/>
        <w:autoSpaceDN/>
        <w:bidi w:val="0"/>
        <w:adjustRightInd/>
        <w:snapToGrid/>
        <w:spacing w:line="380" w:lineRule="exact"/>
        <w:ind w:firstLine="360" w:firstLineChars="150"/>
        <w:textAlignment w:val="auto"/>
        <w:rPr>
          <w:rFonts w:ascii="楷体_GB2312" w:hAnsi="楷体_GB2312" w:eastAsia="楷体_GB2312" w:cs="楷体_GB2312"/>
          <w:sz w:val="24"/>
          <w:szCs w:val="24"/>
        </w:rPr>
      </w:pPr>
      <w:r>
        <w:rPr>
          <w:rFonts w:hint="eastAsia" w:ascii="楷体_GB2312" w:hAnsi="楷体_GB2312" w:eastAsia="楷体_GB2312" w:cs="楷体_GB2312"/>
          <w:sz w:val="24"/>
          <w:szCs w:val="24"/>
        </w:rPr>
        <w:t xml:space="preserve"> （六）除发生火灾等特殊原因，乙方不得擅自开封启动无表防险设施（消火栓）。需要试验内部消防设施的，应当通知甲方及政府供水部门派人启封。发生火灾时，乙方可以自行启动使用，灭火后应当及时通知甲方及政府供水部门重新铅封。</w:t>
      </w:r>
    </w:p>
    <w:p w14:paraId="487377B3">
      <w:pPr>
        <w:keepNext w:val="0"/>
        <w:keepLines w:val="0"/>
        <w:pageBreakBefore w:val="0"/>
        <w:widowControl w:val="0"/>
        <w:kinsoku/>
        <w:wordWrap/>
        <w:overflowPunct/>
        <w:topLinePunct w:val="0"/>
        <w:autoSpaceDE/>
        <w:autoSpaceDN/>
        <w:bidi w:val="0"/>
        <w:adjustRightInd/>
        <w:snapToGrid/>
        <w:spacing w:line="380" w:lineRule="exact"/>
        <w:ind w:firstLine="360" w:firstLineChars="150"/>
        <w:textAlignment w:val="auto"/>
        <w:rPr>
          <w:rFonts w:ascii="楷体_GB2312" w:hAnsi="楷体_GB2312" w:eastAsia="楷体_GB2312" w:cs="楷体_GB2312"/>
          <w:sz w:val="24"/>
          <w:szCs w:val="24"/>
        </w:rPr>
      </w:pPr>
      <w:r>
        <w:rPr>
          <w:rFonts w:hint="eastAsia" w:ascii="楷体_GB2312" w:hAnsi="楷体_GB2312" w:eastAsia="楷体_GB2312" w:cs="楷体_GB2312"/>
          <w:sz w:val="24"/>
          <w:szCs w:val="24"/>
        </w:rPr>
        <w:t xml:space="preserve">  （七）不得私自向第三人转供水；不得擅自向租赁物业以外供水。</w:t>
      </w:r>
    </w:p>
    <w:p w14:paraId="708E557F">
      <w:pPr>
        <w:keepNext w:val="0"/>
        <w:keepLines w:val="0"/>
        <w:pageBreakBefore w:val="0"/>
        <w:widowControl w:val="0"/>
        <w:numPr>
          <w:ilvl w:val="0"/>
          <w:numId w:val="10"/>
        </w:numPr>
        <w:kinsoku/>
        <w:wordWrap/>
        <w:overflowPunct/>
        <w:topLinePunct w:val="0"/>
        <w:autoSpaceDE/>
        <w:autoSpaceDN/>
        <w:bidi w:val="0"/>
        <w:adjustRightInd/>
        <w:snapToGrid/>
        <w:spacing w:line="380" w:lineRule="exact"/>
        <w:ind w:firstLine="360" w:firstLineChars="150"/>
        <w:textAlignment w:val="auto"/>
        <w:rPr>
          <w:rFonts w:ascii="楷体_GB2312" w:hAnsi="楷体_GB2312" w:eastAsia="楷体_GB2312" w:cs="楷体_GB2312"/>
          <w:sz w:val="24"/>
          <w:szCs w:val="24"/>
        </w:rPr>
      </w:pPr>
      <w:r>
        <w:rPr>
          <w:rFonts w:hint="eastAsia" w:ascii="楷体_GB2312" w:hAnsi="楷体_GB2312" w:eastAsia="楷体_GB2312" w:cs="楷体_GB2312"/>
          <w:sz w:val="24"/>
          <w:szCs w:val="24"/>
        </w:rPr>
        <w:t>违约责任</w:t>
      </w:r>
    </w:p>
    <w:p w14:paraId="7597A329">
      <w:pPr>
        <w:keepNext w:val="0"/>
        <w:keepLines w:val="0"/>
        <w:pageBreakBefore w:val="0"/>
        <w:widowControl w:val="0"/>
        <w:kinsoku/>
        <w:wordWrap/>
        <w:overflowPunct/>
        <w:topLinePunct w:val="0"/>
        <w:autoSpaceDE/>
        <w:autoSpaceDN/>
        <w:bidi w:val="0"/>
        <w:adjustRightInd/>
        <w:snapToGrid/>
        <w:spacing w:line="380" w:lineRule="exact"/>
        <w:textAlignment w:val="auto"/>
        <w:rPr>
          <w:rFonts w:ascii="楷体_GB2312" w:hAnsi="楷体_GB2312" w:eastAsia="楷体_GB2312" w:cs="楷体_GB2312"/>
          <w:sz w:val="24"/>
          <w:szCs w:val="24"/>
        </w:rPr>
      </w:pPr>
      <w:r>
        <w:rPr>
          <w:rFonts w:hint="eastAsia" w:ascii="楷体_GB2312" w:hAnsi="楷体_GB2312" w:eastAsia="楷体_GB2312" w:cs="楷体_GB2312"/>
          <w:sz w:val="24"/>
          <w:szCs w:val="24"/>
        </w:rPr>
        <w:t xml:space="preserve">  （一）如因乙方拖欠用水用电费导致供电部门停止供水供电的，所造成的损失和产生的责任均由乙方自行承担。</w:t>
      </w:r>
    </w:p>
    <w:p w14:paraId="2684A3F8">
      <w:pPr>
        <w:keepNext w:val="0"/>
        <w:keepLines w:val="0"/>
        <w:pageBreakBefore w:val="0"/>
        <w:widowControl w:val="0"/>
        <w:kinsoku/>
        <w:wordWrap/>
        <w:overflowPunct/>
        <w:topLinePunct w:val="0"/>
        <w:autoSpaceDE/>
        <w:autoSpaceDN/>
        <w:bidi w:val="0"/>
        <w:adjustRightInd/>
        <w:snapToGrid/>
        <w:spacing w:line="380" w:lineRule="exact"/>
        <w:textAlignment w:val="auto"/>
        <w:rPr>
          <w:rFonts w:ascii="楷体_GB2312" w:hAnsi="楷体_GB2312" w:eastAsia="楷体_GB2312" w:cs="楷体_GB2312"/>
          <w:sz w:val="24"/>
          <w:szCs w:val="24"/>
        </w:rPr>
      </w:pPr>
      <w:r>
        <w:rPr>
          <w:rFonts w:hint="eastAsia" w:ascii="楷体_GB2312" w:hAnsi="楷体_GB2312" w:eastAsia="楷体_GB2312" w:cs="楷体_GB2312"/>
          <w:sz w:val="24"/>
          <w:szCs w:val="24"/>
        </w:rPr>
        <w:t xml:space="preserve">   （二）、如乙方逾期缴纳本协议约定费用的，每逾期一天，每日应按所拖欠费用总额的</w:t>
      </w:r>
      <w:r>
        <w:rPr>
          <w:rFonts w:hint="eastAsia" w:ascii="楷体_GB2312" w:hAnsi="楷体_GB2312" w:eastAsia="楷体_GB2312" w:cs="楷体_GB2312"/>
          <w:sz w:val="24"/>
          <w:szCs w:val="24"/>
          <w:u w:val="single"/>
        </w:rPr>
        <w:t>5%</w:t>
      </w:r>
      <w:r>
        <w:rPr>
          <w:rFonts w:hint="eastAsia" w:ascii="楷体_GB2312" w:hAnsi="楷体_GB2312" w:eastAsia="楷体_GB2312" w:cs="楷体_GB2312"/>
          <w:sz w:val="24"/>
          <w:szCs w:val="24"/>
        </w:rPr>
        <w:t>向甲方支付违约金。</w:t>
      </w:r>
    </w:p>
    <w:p w14:paraId="409940CC">
      <w:pPr>
        <w:keepNext w:val="0"/>
        <w:keepLines w:val="0"/>
        <w:pageBreakBefore w:val="0"/>
        <w:widowControl w:val="0"/>
        <w:kinsoku/>
        <w:wordWrap/>
        <w:overflowPunct/>
        <w:topLinePunct w:val="0"/>
        <w:autoSpaceDE/>
        <w:autoSpaceDN/>
        <w:bidi w:val="0"/>
        <w:adjustRightInd/>
        <w:snapToGrid/>
        <w:spacing w:line="380" w:lineRule="exact"/>
        <w:textAlignment w:val="auto"/>
        <w:rPr>
          <w:rFonts w:ascii="楷体_GB2312" w:hAnsi="楷体_GB2312" w:eastAsia="楷体_GB2312" w:cs="楷体_GB2312"/>
          <w:sz w:val="24"/>
          <w:szCs w:val="24"/>
        </w:rPr>
      </w:pPr>
      <w:r>
        <w:rPr>
          <w:rFonts w:hint="eastAsia" w:ascii="楷体_GB2312" w:hAnsi="楷体_GB2312" w:eastAsia="楷体_GB2312" w:cs="楷体_GB2312"/>
          <w:sz w:val="24"/>
          <w:szCs w:val="24"/>
        </w:rPr>
        <w:t xml:space="preserve">  （三）、因乙方原因导致政府供水、供电部门或其他有关部门、第三人向甲方追究赔偿、违约等经济责任的，乙方应承担赔偿、违约责任。</w:t>
      </w:r>
    </w:p>
    <w:p w14:paraId="1058A47E">
      <w:pPr>
        <w:keepNext w:val="0"/>
        <w:keepLines w:val="0"/>
        <w:pageBreakBefore w:val="0"/>
        <w:widowControl w:val="0"/>
        <w:numPr>
          <w:ilvl w:val="0"/>
          <w:numId w:val="11"/>
        </w:numPr>
        <w:kinsoku/>
        <w:wordWrap/>
        <w:overflowPunct/>
        <w:topLinePunct w:val="0"/>
        <w:autoSpaceDE/>
        <w:autoSpaceDN/>
        <w:bidi w:val="0"/>
        <w:adjustRightInd/>
        <w:snapToGrid/>
        <w:spacing w:line="380" w:lineRule="exact"/>
        <w:ind w:firstLine="480" w:firstLineChars="200"/>
        <w:textAlignment w:val="auto"/>
        <w:rPr>
          <w:rFonts w:ascii="楷体_GB2312" w:hAnsi="楷体_GB2312" w:eastAsia="楷体_GB2312" w:cs="楷体_GB2312"/>
          <w:sz w:val="24"/>
          <w:szCs w:val="24"/>
        </w:rPr>
      </w:pPr>
      <w:r>
        <w:rPr>
          <w:rFonts w:hint="eastAsia" w:ascii="楷体_GB2312" w:hAnsi="楷体_GB2312" w:eastAsia="楷体_GB2312" w:cs="楷体_GB2312"/>
          <w:sz w:val="24"/>
          <w:szCs w:val="24"/>
        </w:rPr>
        <w:t>未尽事宜，由甲乙双方另行协商。</w:t>
      </w:r>
    </w:p>
    <w:p w14:paraId="733BDAEC">
      <w:pPr>
        <w:keepNext w:val="0"/>
        <w:keepLines w:val="0"/>
        <w:pageBreakBefore w:val="0"/>
        <w:widowControl w:val="0"/>
        <w:numPr>
          <w:ilvl w:val="0"/>
          <w:numId w:val="11"/>
        </w:numPr>
        <w:kinsoku/>
        <w:wordWrap/>
        <w:overflowPunct/>
        <w:topLinePunct w:val="0"/>
        <w:autoSpaceDE/>
        <w:autoSpaceDN/>
        <w:bidi w:val="0"/>
        <w:adjustRightInd/>
        <w:snapToGrid/>
        <w:spacing w:line="380" w:lineRule="exact"/>
        <w:ind w:firstLine="480" w:firstLineChars="200"/>
        <w:textAlignment w:val="auto"/>
        <w:rPr>
          <w:rFonts w:ascii="楷体_GB2312" w:hAnsi="楷体_GB2312" w:eastAsia="楷体_GB2312" w:cs="楷体_GB2312"/>
          <w:sz w:val="24"/>
          <w:szCs w:val="24"/>
        </w:rPr>
      </w:pPr>
      <w:r>
        <w:rPr>
          <w:rFonts w:hint="eastAsia" w:ascii="楷体_GB2312" w:hAnsi="楷体_GB2312" w:eastAsia="楷体_GB2312" w:cs="楷体_GB2312"/>
          <w:sz w:val="24"/>
          <w:szCs w:val="24"/>
        </w:rPr>
        <w:t>如有争议，双方应协商解决，解决不成可提交人民法院裁决。</w:t>
      </w:r>
    </w:p>
    <w:p w14:paraId="22214946">
      <w:pPr>
        <w:keepNext w:val="0"/>
        <w:keepLines w:val="0"/>
        <w:widowControl/>
        <w:suppressLineNumbers w:val="0"/>
        <w:spacing w:after="0" w:line="240" w:lineRule="auto"/>
        <w:jc w:val="center"/>
        <w:textAlignment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6、本合同</w:t>
      </w:r>
      <w:r>
        <w:rPr>
          <w:rFonts w:hint="eastAsia" w:ascii="楷体_GB2312" w:hAnsi="楷体_GB2312" w:eastAsia="楷体_GB2312" w:cs="楷体_GB2312"/>
          <w:sz w:val="24"/>
          <w:szCs w:val="24"/>
          <w:lang w:val="en-US" w:eastAsia="zh-CN"/>
        </w:rPr>
        <w:t>一式陆份，</w:t>
      </w:r>
      <w:r>
        <w:rPr>
          <w:rFonts w:hint="eastAsia" w:ascii="楷体_GB2312" w:hAnsi="楷体_GB2312" w:eastAsia="楷体_GB2312" w:cs="楷体_GB2312"/>
          <w:sz w:val="24"/>
          <w:szCs w:val="24"/>
        </w:rPr>
        <w:t>甲方执</w:t>
      </w:r>
      <w:r>
        <w:rPr>
          <w:rFonts w:hint="eastAsia" w:ascii="楷体_GB2312" w:hAnsi="楷体_GB2312" w:eastAsia="楷体_GB2312" w:cs="楷体_GB2312"/>
          <w:sz w:val="24"/>
          <w:szCs w:val="24"/>
          <w:lang w:val="en-US" w:eastAsia="zh-CN"/>
        </w:rPr>
        <w:t>叁</w:t>
      </w:r>
      <w:r>
        <w:rPr>
          <w:rFonts w:hint="eastAsia" w:ascii="楷体_GB2312" w:hAnsi="楷体_GB2312" w:eastAsia="楷体_GB2312" w:cs="楷体_GB2312"/>
          <w:sz w:val="24"/>
          <w:szCs w:val="24"/>
        </w:rPr>
        <w:t>份、乙方执</w:t>
      </w:r>
      <w:r>
        <w:rPr>
          <w:rFonts w:hint="eastAsia" w:ascii="楷体_GB2312" w:hAnsi="楷体_GB2312" w:eastAsia="楷体_GB2312" w:cs="楷体_GB2312"/>
          <w:sz w:val="24"/>
          <w:szCs w:val="24"/>
          <w:lang w:val="en-US" w:eastAsia="zh-CN"/>
        </w:rPr>
        <w:t>贰</w:t>
      </w:r>
      <w:r>
        <w:rPr>
          <w:rFonts w:hint="eastAsia" w:ascii="楷体_GB2312" w:hAnsi="楷体_GB2312" w:eastAsia="楷体_GB2312" w:cs="楷体_GB2312"/>
          <w:sz w:val="24"/>
          <w:szCs w:val="24"/>
        </w:rPr>
        <w:t>份，</w:t>
      </w:r>
      <w:r>
        <w:rPr>
          <w:rFonts w:hint="eastAsia" w:ascii="楷体_GB2312" w:hAnsi="楷体_GB2312" w:eastAsia="楷体_GB2312" w:cs="楷体_GB2312"/>
          <w:sz w:val="24"/>
          <w:szCs w:val="24"/>
          <w:lang w:val="en-US" w:eastAsia="zh-CN"/>
        </w:rPr>
        <w:t>广州市天河区农村集体资产交易</w:t>
      </w:r>
      <w:r>
        <w:rPr>
          <w:rFonts w:hint="eastAsia" w:ascii="仿宋" w:hAnsi="仿宋" w:eastAsia="仿宋" w:cs="仿宋"/>
          <w:i w:val="0"/>
          <w:iCs w:val="0"/>
          <w:color w:val="000000"/>
          <w:kern w:val="0"/>
          <w:sz w:val="24"/>
          <w:szCs w:val="24"/>
          <w:u w:val="none"/>
          <w:lang w:val="en-US" w:eastAsia="zh-CN" w:bidi="ar"/>
        </w:rPr>
        <w:t>中心</w:t>
      </w:r>
      <w:r>
        <w:rPr>
          <w:rFonts w:hint="eastAsia" w:ascii="楷体_GB2312" w:hAnsi="楷体_GB2312" w:eastAsia="楷体_GB2312" w:cs="楷体_GB2312"/>
          <w:sz w:val="24"/>
          <w:szCs w:val="24"/>
          <w:lang w:val="en-US" w:eastAsia="zh-CN"/>
        </w:rPr>
        <w:t>执壹份，</w:t>
      </w:r>
      <w:r>
        <w:rPr>
          <w:rFonts w:hint="eastAsia" w:ascii="楷体_GB2312" w:hAnsi="楷体_GB2312" w:eastAsia="楷体_GB2312" w:cs="楷体_GB2312"/>
          <w:sz w:val="24"/>
          <w:szCs w:val="24"/>
        </w:rPr>
        <w:t>有同等法律效力。</w:t>
      </w:r>
    </w:p>
    <w:p w14:paraId="3313204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w:t>
      </w:r>
    </w:p>
    <w:p w14:paraId="5A786DAE">
      <w:pPr>
        <w:keepNext w:val="0"/>
        <w:keepLines w:val="0"/>
        <w:pageBreakBefore w:val="0"/>
        <w:widowControl w:val="0"/>
        <w:kinsoku/>
        <w:wordWrap/>
        <w:overflowPunct/>
        <w:topLinePunct w:val="0"/>
        <w:autoSpaceDE/>
        <w:autoSpaceDN/>
        <w:bidi w:val="0"/>
        <w:adjustRightInd/>
        <w:snapToGrid/>
        <w:spacing w:line="380" w:lineRule="exact"/>
        <w:textAlignment w:val="auto"/>
        <w:rPr>
          <w:rFonts w:ascii="楷体_GB2312" w:hAnsi="楷体_GB2312" w:eastAsia="楷体_GB2312" w:cs="楷体_GB2312"/>
          <w:sz w:val="24"/>
          <w:szCs w:val="24"/>
        </w:rPr>
      </w:pPr>
      <w:r>
        <w:rPr>
          <w:rFonts w:hint="eastAsia" w:ascii="楷体_GB2312" w:hAnsi="楷体_GB2312" w:eastAsia="楷体_GB2312" w:cs="楷体_GB2312"/>
          <w:sz w:val="24"/>
          <w:szCs w:val="24"/>
        </w:rPr>
        <w:t xml:space="preserve"> </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rPr>
        <w:t xml:space="preserve">甲方： </w:t>
      </w:r>
    </w:p>
    <w:p w14:paraId="5110D135">
      <w:pPr>
        <w:keepNext w:val="0"/>
        <w:keepLines w:val="0"/>
        <w:pageBreakBefore w:val="0"/>
        <w:widowControl w:val="0"/>
        <w:kinsoku/>
        <w:wordWrap/>
        <w:overflowPunct/>
        <w:topLinePunct w:val="0"/>
        <w:autoSpaceDE/>
        <w:autoSpaceDN/>
        <w:bidi w:val="0"/>
        <w:adjustRightInd/>
        <w:snapToGrid/>
        <w:spacing w:line="380" w:lineRule="exact"/>
        <w:ind w:firstLine="240" w:firstLineChars="100"/>
        <w:textAlignment w:val="auto"/>
        <w:rPr>
          <w:rFonts w:ascii="楷体_GB2312" w:hAnsi="楷体_GB2312" w:eastAsia="楷体_GB2312" w:cs="楷体_GB2312"/>
          <w:sz w:val="24"/>
          <w:szCs w:val="24"/>
        </w:rPr>
      </w:pPr>
      <w:r>
        <w:rPr>
          <w:rFonts w:hint="eastAsia" w:ascii="楷体_GB2312" w:hAnsi="楷体_GB2312" w:eastAsia="楷体_GB2312" w:cs="楷体_GB2312"/>
          <w:sz w:val="24"/>
          <w:szCs w:val="24"/>
        </w:rPr>
        <w:t>法定代表人：</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rPr>
        <w:t>日期：</w:t>
      </w:r>
    </w:p>
    <w:p w14:paraId="4B882444">
      <w:pPr>
        <w:keepNext w:val="0"/>
        <w:keepLines w:val="0"/>
        <w:pageBreakBefore w:val="0"/>
        <w:widowControl w:val="0"/>
        <w:kinsoku/>
        <w:wordWrap/>
        <w:overflowPunct/>
        <w:topLinePunct w:val="0"/>
        <w:autoSpaceDE/>
        <w:autoSpaceDN/>
        <w:bidi w:val="0"/>
        <w:adjustRightInd/>
        <w:snapToGrid/>
        <w:spacing w:line="380" w:lineRule="exact"/>
        <w:textAlignment w:val="auto"/>
        <w:rPr>
          <w:rFonts w:ascii="楷体_GB2312" w:hAnsi="楷体_GB2312" w:eastAsia="楷体_GB2312" w:cs="楷体_GB2312"/>
          <w:sz w:val="24"/>
          <w:szCs w:val="24"/>
        </w:rPr>
      </w:pPr>
    </w:p>
    <w:p w14:paraId="7E9A6F4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乙方：</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rPr>
        <w:t xml:space="preserve">日期： </w:t>
      </w:r>
    </w:p>
    <w:p w14:paraId="449E950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楷体_GB2312" w:hAnsi="楷体_GB2312" w:eastAsia="楷体_GB2312" w:cs="楷体_GB2312"/>
          <w:sz w:val="24"/>
          <w:szCs w:val="24"/>
        </w:rPr>
      </w:pPr>
    </w:p>
    <w:p w14:paraId="10858F4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楷体_GB2312" w:hAnsi="楷体_GB2312" w:eastAsia="楷体_GB2312" w:cs="楷体_GB2312"/>
          <w:sz w:val="24"/>
          <w:szCs w:val="24"/>
        </w:rPr>
      </w:pPr>
    </w:p>
    <w:p w14:paraId="7F8880A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楷体_GB2312" w:hAnsi="楷体_GB2312" w:eastAsia="楷体_GB2312" w:cs="楷体_GB2312"/>
          <w:sz w:val="24"/>
          <w:szCs w:val="24"/>
        </w:rPr>
      </w:pPr>
    </w:p>
    <w:p w14:paraId="23F1AF0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楷体_GB2312" w:hAnsi="楷体_GB2312" w:eastAsia="楷体_GB2312" w:cs="楷体_GB2312"/>
          <w:sz w:val="24"/>
          <w:szCs w:val="24"/>
        </w:rPr>
      </w:pPr>
    </w:p>
    <w:p w14:paraId="57EB2F9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楷体_GB2312" w:hAnsi="楷体_GB2312" w:eastAsia="楷体_GB2312" w:cs="楷体_GB2312"/>
          <w:sz w:val="24"/>
          <w:szCs w:val="24"/>
        </w:rPr>
      </w:pPr>
    </w:p>
    <w:p w14:paraId="69F2988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楷体_GB2312" w:hAnsi="楷体_GB2312" w:eastAsia="楷体_GB2312" w:cs="楷体_GB2312"/>
          <w:sz w:val="24"/>
          <w:szCs w:val="24"/>
        </w:rPr>
      </w:pPr>
    </w:p>
    <w:p w14:paraId="7F3649B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楷体_GB2312" w:hAnsi="楷体_GB2312" w:eastAsia="楷体_GB2312" w:cs="楷体_GB2312"/>
          <w:sz w:val="24"/>
          <w:szCs w:val="24"/>
        </w:rPr>
      </w:pPr>
    </w:p>
    <w:p w14:paraId="47E9F77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楷体_GB2312" w:hAnsi="楷体_GB2312" w:eastAsia="楷体_GB2312" w:cs="楷体_GB2312"/>
          <w:sz w:val="24"/>
          <w:szCs w:val="24"/>
        </w:rPr>
      </w:pPr>
    </w:p>
    <w:p w14:paraId="3E56E2A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楷体_GB2312" w:hAnsi="楷体_GB2312" w:eastAsia="楷体_GB2312" w:cs="楷体_GB2312"/>
          <w:sz w:val="24"/>
          <w:szCs w:val="24"/>
        </w:rPr>
      </w:pPr>
    </w:p>
    <w:p w14:paraId="5CB12E9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楷体_GB2312" w:hAnsi="楷体_GB2312" w:eastAsia="楷体_GB2312" w:cs="楷体_GB2312"/>
          <w:sz w:val="24"/>
          <w:szCs w:val="24"/>
        </w:rPr>
      </w:pPr>
    </w:p>
    <w:p w14:paraId="5C4BB3D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楷体_GB2312" w:hAnsi="楷体_GB2312" w:eastAsia="楷体_GB2312" w:cs="楷体_GB2312"/>
          <w:sz w:val="24"/>
          <w:szCs w:val="24"/>
        </w:rPr>
      </w:pPr>
    </w:p>
    <w:p w14:paraId="05F5DC2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楷体_GB2312" w:hAnsi="楷体_GB2312" w:eastAsia="楷体_GB2312" w:cs="楷体_GB2312"/>
          <w:sz w:val="24"/>
          <w:szCs w:val="24"/>
        </w:rPr>
      </w:pPr>
    </w:p>
    <w:p w14:paraId="0E05A0D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楷体_GB2312" w:hAnsi="楷体_GB2312" w:eastAsia="楷体_GB2312" w:cs="楷体_GB2312"/>
          <w:sz w:val="24"/>
          <w:szCs w:val="24"/>
        </w:rPr>
      </w:pPr>
    </w:p>
    <w:p w14:paraId="194746C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楷体_GB2312" w:hAnsi="楷体_GB2312" w:eastAsia="楷体_GB2312" w:cs="楷体_GB2312"/>
          <w:sz w:val="24"/>
          <w:szCs w:val="24"/>
        </w:rPr>
      </w:pPr>
    </w:p>
    <w:p w14:paraId="3B1DA91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楷体_GB2312" w:hAnsi="楷体_GB2312" w:eastAsia="楷体_GB2312" w:cs="楷体_GB2312"/>
          <w:sz w:val="24"/>
          <w:szCs w:val="24"/>
        </w:rPr>
      </w:pPr>
    </w:p>
    <w:p w14:paraId="3A1FCB3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楷体_GB2312" w:hAnsi="楷体_GB2312" w:eastAsia="楷体_GB2312" w:cs="楷体_GB2312"/>
          <w:sz w:val="24"/>
          <w:szCs w:val="24"/>
        </w:rPr>
      </w:pPr>
    </w:p>
    <w:p w14:paraId="7DF56CD3">
      <w:pPr>
        <w:keepNext w:val="0"/>
        <w:keepLines w:val="0"/>
        <w:pageBreakBefore w:val="0"/>
        <w:kinsoku/>
        <w:wordWrap/>
        <w:overflowPunct/>
        <w:topLinePunct w:val="0"/>
        <w:autoSpaceDE/>
        <w:bidi w:val="0"/>
        <w:snapToGrid/>
        <w:spacing w:after="0" w:line="400" w:lineRule="exact"/>
        <w:textAlignment w:val="auto"/>
        <w:rPr>
          <w:rFonts w:hint="default" w:ascii="仿宋" w:hAnsi="仿宋" w:eastAsia="仿宋" w:cs="仿宋"/>
          <w:color w:val="auto"/>
          <w:sz w:val="24"/>
          <w:lang w:val="en-US" w:eastAsia="zh-CN"/>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55"/>
        <w:gridCol w:w="927"/>
        <w:gridCol w:w="1098"/>
        <w:gridCol w:w="1037"/>
        <w:gridCol w:w="1112"/>
        <w:gridCol w:w="1112"/>
        <w:gridCol w:w="1638"/>
        <w:gridCol w:w="1112"/>
        <w:gridCol w:w="1263"/>
      </w:tblGrid>
      <w:tr w14:paraId="12BE0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5000" w:type="pct"/>
            <w:gridSpan w:val="9"/>
            <w:tcBorders>
              <w:top w:val="nil"/>
              <w:left w:val="nil"/>
              <w:bottom w:val="nil"/>
              <w:right w:val="nil"/>
            </w:tcBorders>
            <w:noWrap/>
            <w:vAlign w:val="center"/>
          </w:tcPr>
          <w:p w14:paraId="20004BA0">
            <w:pPr>
              <w:keepNext w:val="0"/>
              <w:keepLines w:val="0"/>
              <w:widowControl/>
              <w:suppressLineNumbers w:val="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附表：石牌肉菜市场档位公开竞投交易明细表</w:t>
            </w:r>
          </w:p>
        </w:tc>
      </w:tr>
      <w:tr w14:paraId="23661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29F0C3CC">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序号</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4F84B091">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交易</w:t>
            </w:r>
          </w:p>
          <w:p w14:paraId="63896F83">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编号</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5ED87F40">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单元</w:t>
            </w:r>
          </w:p>
          <w:p w14:paraId="6159ABDB">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名称</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D2C124D">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出租</w:t>
            </w:r>
          </w:p>
          <w:p w14:paraId="2859AD5F">
            <w:pPr>
              <w:keepNext w:val="0"/>
              <w:keepLines w:val="0"/>
              <w:widowControl/>
              <w:suppressLineNumbers w:val="0"/>
              <w:spacing w:after="0" w:line="240" w:lineRule="auto"/>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面积(㎡)</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7B42B204">
            <w:pPr>
              <w:keepNext w:val="0"/>
              <w:keepLines w:val="0"/>
              <w:widowControl/>
              <w:suppressLineNumbers w:val="0"/>
              <w:spacing w:after="0" w:line="240" w:lineRule="auto"/>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现租价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(元/月)</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0C97418D">
            <w:pPr>
              <w:keepNext w:val="0"/>
              <w:keepLines w:val="0"/>
              <w:widowControl/>
              <w:suppressLineNumbers w:val="0"/>
              <w:spacing w:after="0" w:line="240" w:lineRule="auto"/>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评估价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(元/月)</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35E01535">
            <w:pPr>
              <w:keepNext w:val="0"/>
              <w:keepLines w:val="0"/>
              <w:widowControl/>
              <w:suppressLineNumbers w:val="0"/>
              <w:spacing w:after="0" w:line="240" w:lineRule="auto"/>
              <w:jc w:val="center"/>
              <w:textAlignment w:val="center"/>
              <w:rPr>
                <w:rFonts w:hint="default" w:ascii="仿宋" w:hAnsi="仿宋" w:eastAsia="仿宋" w:cs="仿宋"/>
                <w:i w:val="0"/>
                <w:iCs w:val="0"/>
                <w:color w:val="000000"/>
                <w:kern w:val="0"/>
                <w:sz w:val="24"/>
                <w:szCs w:val="24"/>
                <w:u w:val="none"/>
                <w:lang w:val="en-US" w:eastAsia="zh-CN" w:bidi="ar"/>
              </w:rPr>
            </w:pPr>
            <w:bookmarkStart w:id="40" w:name="_GoBack"/>
            <w:bookmarkEnd w:id="40"/>
            <w:r>
              <w:rPr>
                <w:rFonts w:hint="eastAsia" w:ascii="仿宋" w:hAnsi="仿宋" w:eastAsia="仿宋" w:cs="仿宋"/>
                <w:i w:val="0"/>
                <w:iCs w:val="0"/>
                <w:color w:val="000000"/>
                <w:kern w:val="0"/>
                <w:sz w:val="24"/>
                <w:szCs w:val="24"/>
                <w:u w:val="none"/>
                <w:lang w:val="en-US" w:eastAsia="zh-CN" w:bidi="ar"/>
              </w:rPr>
              <w:t>交易底价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(元/月)</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718B12CF">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交易</w:t>
            </w:r>
          </w:p>
          <w:p w14:paraId="6F8592FB">
            <w:pPr>
              <w:keepNext w:val="0"/>
              <w:keepLines w:val="0"/>
              <w:widowControl/>
              <w:suppressLineNumbers w:val="0"/>
              <w:spacing w:after="0" w:line="240" w:lineRule="auto"/>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保证金(元)</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396BFDBA">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履约</w:t>
            </w:r>
          </w:p>
          <w:p w14:paraId="7D8703DB">
            <w:pPr>
              <w:keepNext w:val="0"/>
              <w:keepLines w:val="0"/>
              <w:widowControl/>
              <w:suppressLineNumbers w:val="0"/>
              <w:spacing w:after="0" w:line="240" w:lineRule="auto"/>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保证金(元)</w:t>
            </w:r>
          </w:p>
        </w:tc>
      </w:tr>
      <w:tr w14:paraId="46DAE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52B4DF55">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 </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57D29331">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0068</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4DC7F9D4">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蔬菜零售6</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0D2F34D">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10.50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643F144A">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4700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566B8D90">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2940 </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7E0E25B4">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3760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345BB14A">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7520 </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08430534">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7520 </w:t>
            </w:r>
          </w:p>
        </w:tc>
      </w:tr>
      <w:tr w14:paraId="1FCB6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6A17A351">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 </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6375A045">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0069</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0313DF8D">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蔬菜零售8</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F2DE9F3">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8.32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54E624CC">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3200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2304F7CB">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2330 </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1B369F37">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2560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45191C31">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5120 </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59F5B3C5">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5120 </w:t>
            </w:r>
          </w:p>
        </w:tc>
      </w:tr>
      <w:tr w14:paraId="25FFC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0673DFE7">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 </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64F98888">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0070</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527493D3">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蔬菜零售9</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3BE647F">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8.32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03828291">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3200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1DBC0162">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2330 </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52E059D3">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2560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33F7D76A">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5120 </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1766CF33">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5120 </w:t>
            </w:r>
          </w:p>
        </w:tc>
      </w:tr>
      <w:tr w14:paraId="53974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5FB93E98">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 </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28DBA54C">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0071</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55323ABB">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蔬菜零售10</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A074F6C">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8.20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5E240AC2">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4504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0145B156">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2296 </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05F2E7C8">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3603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1DAD462D">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7206 </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09B3FC3A">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7206 </w:t>
            </w:r>
          </w:p>
        </w:tc>
      </w:tr>
      <w:tr w14:paraId="0AD55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38135D60">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 </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744E34FD">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0072</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2EEA15C6">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蔬菜零售11</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91D048F">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8.20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71FA7349">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4600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49C3D0CF">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2296 </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163D71CD">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3680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3C0F65DB">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7360 </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4534BF68">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7360 </w:t>
            </w:r>
          </w:p>
        </w:tc>
      </w:tr>
      <w:tr w14:paraId="5E3CD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12D08CAB">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 </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35E74E0A">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0073</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7A9DFD75">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蔬菜零售12</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88F5301">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8.32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250E1008">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4000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5A56DAED">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2330 </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1A070819">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3200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2F1F6392">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6400 </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51C1C6DB">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6400 </w:t>
            </w:r>
          </w:p>
        </w:tc>
      </w:tr>
      <w:tr w14:paraId="091FC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7E60D23B">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 </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1EA664D4">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0074</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5386F43E">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蔬菜零售16</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E16B960">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7.02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2DC777A5">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4000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3AA30F92">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1966 </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1276168D">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3200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09C0DFDD">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6400 </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4E48D9E5">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6400 </w:t>
            </w:r>
          </w:p>
        </w:tc>
      </w:tr>
      <w:tr w14:paraId="3788F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57A5C912">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8 </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0F8F01D3">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0075</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56A6F24F">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蔬菜零售17</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DC06238">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7.70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3768C6BE">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4000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14B0D69B">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2156 </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1D01E8CC">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3200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05917D3C">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6400 </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76B900A7">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6400 </w:t>
            </w:r>
          </w:p>
        </w:tc>
      </w:tr>
      <w:tr w14:paraId="3A7F1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00A6E3F2">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 </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1D23E8F6">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0076</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7311B8DB">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蔬菜零售18</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5EE935B">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9.90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1663E8D4">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4504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54EBCB9B">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2772 </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5D27CF50">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3603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445C66CE">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7206 </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16192147">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7206 </w:t>
            </w:r>
          </w:p>
        </w:tc>
      </w:tr>
      <w:tr w14:paraId="011E3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1BD7FEDF">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10 </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32AD8D6F">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0077</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10822CBA">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蔬菜零售23</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63D0B14">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7.02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0676813B">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4000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01F03CA6">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1966 </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1662452E">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3200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6F03889A">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6400 </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35092B7C">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6400 </w:t>
            </w:r>
          </w:p>
        </w:tc>
      </w:tr>
      <w:tr w14:paraId="47228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294295B3">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11 </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057AEA34">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0079</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157C9AEF">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蔬菜零售25</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8EB2CCC">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6.80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07DCE2DD">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4504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66BCB301">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1904 </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498B6FF1">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3603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0787FD7A">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7206 </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73AC98DE">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7206 </w:t>
            </w:r>
          </w:p>
        </w:tc>
      </w:tr>
      <w:tr w14:paraId="3EB66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1A9B83A4">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12 </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6C8AD874">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0080</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5C403AF8">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蔬菜零售26</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A6CCC41">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7.25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472BD47D">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4000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5EA726CF">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2030 </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16E4C9E2">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3200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6D85844A">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6400 </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42C496DE">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6400 </w:t>
            </w:r>
          </w:p>
        </w:tc>
      </w:tr>
      <w:tr w14:paraId="26960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16D4DA38">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13 </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5729BFBE">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0081</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665A450A">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蔬菜零售27</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DB0597E">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7.80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2A27EFA0">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4000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38C2E258">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2184 </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767F9C75">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3200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482586C6">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6400 </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019A7C4A">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6400 </w:t>
            </w:r>
          </w:p>
        </w:tc>
      </w:tr>
      <w:tr w14:paraId="78894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35421A24">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14 </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42A162D7">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0082</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47C14315">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蔬菜零售28</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6372413">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14.50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03242FED">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6000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7967C634">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4060 </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6D580C87">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4800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3AA17DE4">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9600 </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59583FD3">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9600 </w:t>
            </w:r>
          </w:p>
        </w:tc>
      </w:tr>
      <w:tr w14:paraId="7753D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1F4F1C97">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序号</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2A089E2D">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交易</w:t>
            </w:r>
          </w:p>
          <w:p w14:paraId="7D244CAC">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编号</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50C97B25">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单元</w:t>
            </w:r>
          </w:p>
          <w:p w14:paraId="254BE0B6">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名称</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B20CE9C">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出租</w:t>
            </w:r>
          </w:p>
          <w:p w14:paraId="6EFD7EF3">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面积(㎡)</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37108C08">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现租价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(元/月)</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72851306">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评估价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(元/月)</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328C054A">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交易底价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(元/月)</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392A0F9D">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交易</w:t>
            </w:r>
          </w:p>
          <w:p w14:paraId="1DE86DFB">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保证金(元)</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578442F7">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履约</w:t>
            </w:r>
          </w:p>
          <w:p w14:paraId="4D48E723">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保证金(元)</w:t>
            </w:r>
          </w:p>
        </w:tc>
      </w:tr>
      <w:tr w14:paraId="020EE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6737605E">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15 </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763F0489">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0083</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30B2623A">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蔬菜零售30</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63597E5">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12.47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448EC728">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4900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20DE3620">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3492 </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242A90AA">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3920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4E760419">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7840 </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6FB32E78">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7840 </w:t>
            </w:r>
          </w:p>
        </w:tc>
      </w:tr>
      <w:tr w14:paraId="70A85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4367DD8F">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16 </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51CC1938">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0084</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131709E0">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蔬菜零售32</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30F7DED">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4C27B260">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6000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378B68F7">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2520 </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13F05766">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4800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4021A5BD">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9600 </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76F95C59">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9600 </w:t>
            </w:r>
          </w:p>
        </w:tc>
      </w:tr>
      <w:tr w14:paraId="5A009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49F35299">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17 </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3B060246">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0085</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72A18307">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蔬菜零售37</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0211A60">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7.41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57D971C7">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5068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4C664285">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2075 </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375E7D16">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4054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5CA4033C">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8108 </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03A7BADE">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8108 </w:t>
            </w:r>
          </w:p>
        </w:tc>
      </w:tr>
      <w:tr w14:paraId="1FBB0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024720EB">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18 </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2966746B">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0086</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5B27714E">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蔬菜零售38</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93A4F48">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10.40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15B0AA27">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4500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2BC9EBC1">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2912 </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07649A3F">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3600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6D607E9E">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7200 </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07A1AEA7">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7200 </w:t>
            </w:r>
          </w:p>
        </w:tc>
      </w:tr>
      <w:tr w14:paraId="59D97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204EA8C1">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19 </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19D6F284">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0087</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7CBB75BC">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蔬菜批发4</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67D369E">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21.42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1CA6A14E">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5880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345B0345">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6126 </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7F5978CE">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4704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2131B735">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9408 </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37EF9317">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9408 </w:t>
            </w:r>
          </w:p>
        </w:tc>
      </w:tr>
      <w:tr w14:paraId="2F5DE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7B8DC2CF">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20 </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12031BA4">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0088</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2454C882">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蔬菜批发5</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7EE8C05">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18.06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086D9297">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5880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5FF75D32">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5165 </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5129528E">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4704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7EC6050E">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9408 </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4EBEE28D">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9408 </w:t>
            </w:r>
          </w:p>
        </w:tc>
      </w:tr>
      <w:tr w14:paraId="60472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49FABBBF">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21 </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4F89AC43">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0089</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4E6EA645">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牛肉2</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41A0E06">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17.50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1EE8BC05">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8000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7A89AF89">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5250 </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708CD6E3">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6400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63256292">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12800 </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39BDC8F1">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12800 </w:t>
            </w:r>
          </w:p>
        </w:tc>
      </w:tr>
      <w:tr w14:paraId="6A414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777F3744">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22 </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5704FA30">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0093</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58FD46AC">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猪肉4</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93B0CDA">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10.54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4FF79112">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5068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4E6D41AF">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3162 </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495DB267">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4054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36569F4D">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8108 </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49E9671D">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8108 </w:t>
            </w:r>
          </w:p>
        </w:tc>
      </w:tr>
      <w:tr w14:paraId="3884A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2B4E987D">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23 </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27536D9F">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0097</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1C9B8BE8">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猪肉9</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5B979FC">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10.54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6500E2EF">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4900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0AADC258">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3162 </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0CE75D3C">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3920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16BAD75B">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7840 </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6F8E177D">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7840 </w:t>
            </w:r>
          </w:p>
        </w:tc>
      </w:tr>
      <w:tr w14:paraId="0A0BB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2B0CAF86">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24 </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234D0885">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0098</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4B0676E4">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猪肉10</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DB993FF">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7.75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66FE3720">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4900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5CC15A46">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2325 </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2BA49D01">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3920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694E6541">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7840 </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295F019E">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7840 </w:t>
            </w:r>
          </w:p>
        </w:tc>
      </w:tr>
      <w:tr w14:paraId="7E6E6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44D419F3">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25 </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4F9153D7">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0099</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682F792A">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海产2</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9899210">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15.66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3BAC9B32">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3000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0FC9BAB9">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3508 </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0D08E4C5">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2400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084364BA">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4800 </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22DCA8EB">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4800 </w:t>
            </w:r>
          </w:p>
        </w:tc>
      </w:tr>
      <w:tr w14:paraId="268F0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186393C5">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26 </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0EEB90A5">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0100</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691A7024">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海产5</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EF078A3">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13.65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38704CB7">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6500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715F0B04">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3058 </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079D4E78">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5200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7E4EAE80">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10400 </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2F5A48BE">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10400 </w:t>
            </w:r>
          </w:p>
        </w:tc>
      </w:tr>
      <w:tr w14:paraId="0FC6E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79C3F324">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27 </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664F862A">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0101</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5E48AC97">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海产6</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1B2F296">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14.79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46861306">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6500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56F90038">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3313 </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5A0212EC">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5200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018433EE">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10400 </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0A30F149">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10400 </w:t>
            </w:r>
          </w:p>
        </w:tc>
      </w:tr>
      <w:tr w14:paraId="49A4A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6E6CB471">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28 </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0FCFE19D">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0102</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700E0CF0">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冰鲜3</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40CFFD4">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13.00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24BC029B">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5068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6CD44D48">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2340 </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2FCA5B79">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4054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07F3762A">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8108 </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4B6FC1FF">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8108 </w:t>
            </w:r>
          </w:p>
        </w:tc>
      </w:tr>
      <w:tr w14:paraId="64CC1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1C0E0765">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29 </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2E8971D5">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0103</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514FE5C2">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冰鲜5</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98A5439">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21.45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4DB11095">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5150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2E896581">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3861 </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08F17F11">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4120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29DF8144">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8240 </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43C9F419">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8240 </w:t>
            </w:r>
          </w:p>
        </w:tc>
      </w:tr>
      <w:tr w14:paraId="711E1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3712CA73">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30 </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0BB5E138">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0104</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0FC0FAE2">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冰鲜6</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B605127">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13.52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7F0B2E00">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5628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4BC72101">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2434 </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38348282">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4502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36A8441A">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9004 </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548B3142">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9004 </w:t>
            </w:r>
          </w:p>
        </w:tc>
      </w:tr>
      <w:tr w14:paraId="11F1F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391B88F5">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序号</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1232045B">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交易</w:t>
            </w:r>
          </w:p>
          <w:p w14:paraId="286D5507">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编号</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4CABEACC">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单元</w:t>
            </w:r>
          </w:p>
          <w:p w14:paraId="07DE0A0D">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名称</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40FF2AA">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出租</w:t>
            </w:r>
          </w:p>
          <w:p w14:paraId="79C3DA94">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面积(㎡)</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17919104">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现租价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(元/月)</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07795269">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评估价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(元/月)</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61EEB315">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交易底价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(元/月)</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69A056EB">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交易</w:t>
            </w:r>
          </w:p>
          <w:p w14:paraId="1C3545E3">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保证金(元)</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74477E41">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履约</w:t>
            </w:r>
          </w:p>
          <w:p w14:paraId="7DC59F28">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保证金(元)</w:t>
            </w:r>
          </w:p>
        </w:tc>
      </w:tr>
      <w:tr w14:paraId="55A2F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55E0CF2C">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31 </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404A1941">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0105</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3E6DA572">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冰鲜8</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1E40782">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11.44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334277A5">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4500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1302227F">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2059 </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1AE8AAC1">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3600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32620488">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7200 </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7BD004B2">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7200 </w:t>
            </w:r>
          </w:p>
        </w:tc>
      </w:tr>
      <w:tr w14:paraId="75AF7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60DA8357">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32 </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3DF92E2A">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0106</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51B1D5E0">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生鲜家禽2</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9C19FEF">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1501FA13">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4500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59737896">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1862 </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5631BF61">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3600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5D10731A">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7200 </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505760AB">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7200 </w:t>
            </w:r>
          </w:p>
        </w:tc>
      </w:tr>
      <w:tr w14:paraId="7CC21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699F69A1">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33 </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7FDDF347">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0107</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244773AB">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生鲜家禽5</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C150FFB">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18.48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552A9DEA">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6752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7592EE05">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4916 </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6595CD0A">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5402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2B49E019">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10804 </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798A069B">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10804 </w:t>
            </w:r>
          </w:p>
        </w:tc>
      </w:tr>
      <w:tr w14:paraId="2B5A6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714CD62D">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34 </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7D967FCD">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0108</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07ED5483">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开刀鱼2</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8A1000A">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13.30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32716F2B">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6528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42F185DB">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2447 </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653B5773">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5222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287DA5E0">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10444 </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73C20E61">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10444 </w:t>
            </w:r>
          </w:p>
        </w:tc>
      </w:tr>
      <w:tr w14:paraId="6105F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1C56AF79">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35 </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0DF69E5C">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0111</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3D5FCAB3">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场内食杂5</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2128C0A">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13.00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1C62BF76">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4800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00B53FEE">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2080 </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30D6CBFF">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3840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09DE08D1">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7680 </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718F2E24">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7680 </w:t>
            </w:r>
          </w:p>
        </w:tc>
      </w:tr>
      <w:tr w14:paraId="4DE26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677E44C2">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36 </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4405544F">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0112</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3FBF6E23">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场内食杂6</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C2E6EF9">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16.50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04473770">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4500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703CAABE">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2640 </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113A5B8D">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3600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6C0CDD54">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7200 </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06E768F8">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7200 </w:t>
            </w:r>
          </w:p>
        </w:tc>
      </w:tr>
      <w:tr w14:paraId="7FEC3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4EDB7F5D">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37 </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7DA59400">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0113</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4FE01EF4">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场内食杂9</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B9B674B">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11.88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3403F0A4">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5628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7C4F7037">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1901 </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371288C2">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4502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109B8C69">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9004 </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7E1D13E2">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9004 </w:t>
            </w:r>
          </w:p>
        </w:tc>
      </w:tr>
      <w:tr w14:paraId="3BD9D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51A0C2C3">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38 </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51163D76">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0114</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39581CC7">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场内食杂11</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FD07229">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18.85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4DBD4B2D">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5500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56170100">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3016 </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131BC323">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4400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0A33AD33">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8800 </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62557032">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8800 </w:t>
            </w:r>
          </w:p>
        </w:tc>
      </w:tr>
      <w:tr w14:paraId="42037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4D5A6EB5">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39 </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174747AE">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0115</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781AF310">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场内食杂12</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AB02340">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18.20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622780C5">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5500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1050EC63">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2912 </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333FBD0D">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4400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7BCC9C3D">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8800 </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7EE4976C">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8800 </w:t>
            </w:r>
          </w:p>
        </w:tc>
      </w:tr>
      <w:tr w14:paraId="19729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2CD56995">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40 </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27DF5DBC">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0116</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1770840D">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南铺19</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77F58FC">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24.75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0F12E400">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20258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0C5529F9">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7574 </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54487964">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16206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080343F5">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32412 </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56652D30">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32412 </w:t>
            </w:r>
          </w:p>
        </w:tc>
      </w:tr>
      <w:tr w14:paraId="75F3A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03586C44">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41 </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0984B303">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0117</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1030AFBF">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南铺1</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B458CC2">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18.40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5C8185DA">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12390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7C7D77B9">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5630 </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46B2379E">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9912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4C363F02">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19824 </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1E622A0F">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19824 </w:t>
            </w:r>
          </w:p>
        </w:tc>
      </w:tr>
      <w:tr w14:paraId="70ECA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019DC4F9">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42 </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33A52918">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0118</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1EDA7611">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南铺3</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836015D">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10.00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5EE3CCA0">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6752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645DE012">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3060 </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1AA7316B">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5402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4931F31A">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10804 </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53AAC778">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10804 </w:t>
            </w:r>
          </w:p>
        </w:tc>
      </w:tr>
      <w:tr w14:paraId="75ECC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62C0C088">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43 </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7DD07A0C">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0120</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24917970">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南铺7</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248937E">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10.00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5ACBDEBD">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3500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1648E8E1">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3060 </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15572681">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2800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1954B40C">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5600 </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589ECF8C">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5600 </w:t>
            </w:r>
          </w:p>
        </w:tc>
      </w:tr>
      <w:tr w14:paraId="4CE60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vMerge w:val="restart"/>
            <w:tcBorders>
              <w:top w:val="single" w:color="000000" w:sz="4" w:space="0"/>
              <w:left w:val="single" w:color="000000" w:sz="4" w:space="0"/>
              <w:bottom w:val="single" w:color="000000" w:sz="4" w:space="0"/>
              <w:right w:val="single" w:color="000000" w:sz="4" w:space="0"/>
            </w:tcBorders>
            <w:noWrap w:val="0"/>
            <w:vAlign w:val="center"/>
          </w:tcPr>
          <w:p w14:paraId="6201C517">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44 </w:t>
            </w:r>
          </w:p>
        </w:tc>
        <w:tc>
          <w:tcPr>
            <w:tcW w:w="471" w:type="pct"/>
            <w:vMerge w:val="restart"/>
            <w:tcBorders>
              <w:top w:val="single" w:color="000000" w:sz="4" w:space="0"/>
              <w:left w:val="single" w:color="000000" w:sz="4" w:space="0"/>
              <w:bottom w:val="single" w:color="000000" w:sz="4" w:space="0"/>
              <w:right w:val="single" w:color="000000" w:sz="4" w:space="0"/>
            </w:tcBorders>
            <w:noWrap w:val="0"/>
            <w:vAlign w:val="center"/>
          </w:tcPr>
          <w:p w14:paraId="2D29DCB4">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0121</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7C63B14D">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南铺9</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4EDAF3C">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10.00 </w:t>
            </w:r>
          </w:p>
        </w:tc>
        <w:tc>
          <w:tcPr>
            <w:tcW w:w="564" w:type="pct"/>
            <w:vMerge w:val="restart"/>
            <w:tcBorders>
              <w:top w:val="single" w:color="000000" w:sz="4" w:space="0"/>
              <w:left w:val="single" w:color="000000" w:sz="4" w:space="0"/>
              <w:bottom w:val="single" w:color="000000" w:sz="4" w:space="0"/>
              <w:right w:val="single" w:color="000000" w:sz="4" w:space="0"/>
            </w:tcBorders>
            <w:noWrap w:val="0"/>
            <w:vAlign w:val="center"/>
          </w:tcPr>
          <w:p w14:paraId="3C5C5514">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7000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36A8A42A">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3060 </w:t>
            </w:r>
          </w:p>
        </w:tc>
        <w:tc>
          <w:tcPr>
            <w:tcW w:w="831" w:type="pct"/>
            <w:vMerge w:val="restart"/>
            <w:tcBorders>
              <w:top w:val="single" w:color="000000" w:sz="4" w:space="0"/>
              <w:left w:val="single" w:color="000000" w:sz="4" w:space="0"/>
              <w:bottom w:val="single" w:color="000000" w:sz="4" w:space="0"/>
              <w:right w:val="single" w:color="000000" w:sz="4" w:space="0"/>
            </w:tcBorders>
            <w:noWrap w:val="0"/>
            <w:vAlign w:val="center"/>
          </w:tcPr>
          <w:p w14:paraId="5ED65E8A">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5600 </w:t>
            </w:r>
          </w:p>
        </w:tc>
        <w:tc>
          <w:tcPr>
            <w:tcW w:w="564" w:type="pct"/>
            <w:vMerge w:val="restart"/>
            <w:tcBorders>
              <w:top w:val="single" w:color="000000" w:sz="4" w:space="0"/>
              <w:left w:val="single" w:color="000000" w:sz="4" w:space="0"/>
              <w:bottom w:val="single" w:color="000000" w:sz="4" w:space="0"/>
              <w:right w:val="single" w:color="000000" w:sz="4" w:space="0"/>
            </w:tcBorders>
            <w:noWrap w:val="0"/>
            <w:vAlign w:val="center"/>
          </w:tcPr>
          <w:p w14:paraId="46899675">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11200 </w:t>
            </w:r>
          </w:p>
        </w:tc>
        <w:tc>
          <w:tcPr>
            <w:tcW w:w="635" w:type="pct"/>
            <w:vMerge w:val="restart"/>
            <w:tcBorders>
              <w:top w:val="single" w:color="000000" w:sz="4" w:space="0"/>
              <w:left w:val="single" w:color="000000" w:sz="4" w:space="0"/>
              <w:bottom w:val="single" w:color="000000" w:sz="4" w:space="0"/>
              <w:right w:val="single" w:color="000000" w:sz="4" w:space="0"/>
            </w:tcBorders>
            <w:noWrap w:val="0"/>
            <w:vAlign w:val="center"/>
          </w:tcPr>
          <w:p w14:paraId="7AA67C40">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11200 </w:t>
            </w:r>
          </w:p>
        </w:tc>
      </w:tr>
      <w:tr w14:paraId="67D8F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E2C041">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47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4E9B36">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0D2A1D06">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南铺10</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BCCC47D">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10.00 </w:t>
            </w:r>
          </w:p>
        </w:tc>
        <w:tc>
          <w:tcPr>
            <w:tcW w:w="5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D34B77">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7BE6D436">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3060 </w:t>
            </w:r>
          </w:p>
        </w:tc>
        <w:tc>
          <w:tcPr>
            <w:tcW w:w="8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9AD476">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5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702BE4">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63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B0E781">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p>
        </w:tc>
      </w:tr>
      <w:tr w14:paraId="41618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07341B61">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45 </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55F76D0E">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0122</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4D6A91C8">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南北通道11</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F814388">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20.00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4E5B703A">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7000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10BD57CF">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6120 </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3FBC40D8">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5600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5BFAC94A">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11200 </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6DDF042F">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11200 </w:t>
            </w:r>
          </w:p>
        </w:tc>
      </w:tr>
      <w:tr w14:paraId="14AC5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66EA550B">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序号</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2195AC27">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交易</w:t>
            </w:r>
          </w:p>
          <w:p w14:paraId="3FE29CD8">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编号</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414349D3">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单元</w:t>
            </w:r>
          </w:p>
          <w:p w14:paraId="1055BCC8">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名称</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3276E73">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出租</w:t>
            </w:r>
          </w:p>
          <w:p w14:paraId="58BF9986">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面积(㎡)</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3C05F2A6">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现租价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(元/月)</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30C4D20E">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评估价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(元/月)</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2087727B">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交易底价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(元/月)</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35190CFC">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交易</w:t>
            </w:r>
          </w:p>
          <w:p w14:paraId="65FAD1CC">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保证金(元)</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1C72DED3">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履约</w:t>
            </w:r>
          </w:p>
          <w:p w14:paraId="66550D50">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保证金(元)</w:t>
            </w:r>
          </w:p>
        </w:tc>
      </w:tr>
      <w:tr w14:paraId="1B815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1037B2C9">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46 </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457DACF8">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0123</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13FF0613">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南铺16</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516F03F">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10.00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6308B797">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8442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579589BF">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3060 </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16BD167A">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6754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4DDE55AE">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13508 </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3D61C9E1">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13508 </w:t>
            </w:r>
          </w:p>
        </w:tc>
      </w:tr>
      <w:tr w14:paraId="0A244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4448D5A5">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47 </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746198C5">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0124</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39A67481">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南铺18</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E7A6E03">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10.00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15415FCC">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3500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4A1953FF">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3060 </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172562C4">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2800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3682C492">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5600 </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4B51839C">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5600 </w:t>
            </w:r>
          </w:p>
        </w:tc>
      </w:tr>
      <w:tr w14:paraId="78463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0827C324">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48 </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69F59992">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0125</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74CEA34D">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熟食2</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2B0A89A">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10.00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021A8755">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4000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32462202">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2200 </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43362E15">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3200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558E8373">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6400 </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649179F2">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6400 </w:t>
            </w:r>
          </w:p>
        </w:tc>
      </w:tr>
      <w:tr w14:paraId="7AB5B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4631922B">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49 </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03610579">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0126</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09196209">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熟食8</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AC154D6">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10.00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440A7F90">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4000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728A63C4">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2200 </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67D1409C">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3200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39EAF8A5">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6400 </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08F4593B">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6400 </w:t>
            </w:r>
          </w:p>
        </w:tc>
      </w:tr>
      <w:tr w14:paraId="7D250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23D080D7">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50 </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741B0021">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0128</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72251EAE">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仓库2</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54701B04">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4.00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062BC819">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676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39DE7FDE">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240 </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0940DFB8">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541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01410B09">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1082 </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6A02A9C2">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1082 </w:t>
            </w:r>
          </w:p>
        </w:tc>
      </w:tr>
      <w:tr w14:paraId="09403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7ADF5F2B">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合计</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56C0D109">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6B79DA6B">
            <w:pPr>
              <w:keepNext w:val="0"/>
              <w:keepLines w:val="0"/>
              <w:widowControl/>
              <w:suppressLineNumbers w:val="0"/>
              <w:spacing w:after="0" w:line="240" w:lineRule="auto"/>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4ECA4C27">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612.81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4944ABA3">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271880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76E115A5">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154420  </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15C5ED50">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217504 </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6D04A545">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435004 </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236E0CD4">
            <w:pPr>
              <w:keepNext w:val="0"/>
              <w:keepLines w:val="0"/>
              <w:widowControl/>
              <w:suppressLineNumbers w:val="0"/>
              <w:spacing w:after="0"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435004 </w:t>
            </w:r>
          </w:p>
        </w:tc>
      </w:tr>
    </w:tbl>
    <w:p w14:paraId="1647E8D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楷体_GB2312" w:hAnsi="楷体_GB2312" w:eastAsia="楷体_GB2312" w:cs="楷体_GB2312"/>
          <w:sz w:val="24"/>
          <w:szCs w:val="24"/>
        </w:rPr>
      </w:pPr>
    </w:p>
    <w:p w14:paraId="29F6BFAA">
      <w:pPr>
        <w:keepNext w:val="0"/>
        <w:keepLines w:val="0"/>
        <w:pageBreakBefore w:val="0"/>
        <w:kinsoku/>
        <w:wordWrap/>
        <w:overflowPunct/>
        <w:topLinePunct w:val="0"/>
        <w:autoSpaceDE/>
        <w:bidi w:val="0"/>
        <w:snapToGrid/>
        <w:spacing w:after="0" w:line="400" w:lineRule="exact"/>
        <w:ind w:firstLine="480" w:firstLineChars="200"/>
        <w:textAlignment w:val="auto"/>
        <w:rPr>
          <w:rFonts w:hint="default" w:ascii="仿宋" w:hAnsi="仿宋" w:eastAsia="仿宋" w:cs="仿宋"/>
          <w:color w:val="auto"/>
          <w:sz w:val="24"/>
          <w:lang w:val="en-US" w:eastAsia="zh-CN"/>
        </w:rPr>
      </w:pPr>
    </w:p>
    <w:sectPr>
      <w:footerReference r:id="rId9" w:type="first"/>
      <w:footerReference r:id="rId8" w:type="default"/>
      <w:pgSz w:w="11906" w:h="16838"/>
      <w:pgMar w:top="1020" w:right="1134" w:bottom="794" w:left="1134" w:header="851" w:footer="907" w:gutter="0"/>
      <w:pgNumType w:fmt="decimal"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C890A">
    <w:pPr>
      <w:pStyle w:val="5"/>
      <w:jc w:val="center"/>
    </w:pPr>
  </w:p>
  <w:p w14:paraId="2C1E8C1C">
    <w:pPr>
      <w:pStyle w:val="5"/>
      <w:ind w:firstLine="1710" w:firstLineChars="9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62C78">
    <w:pPr>
      <w:pStyle w:val="5"/>
      <w:framePr w:wrap="around" w:vAnchor="text" w:hAnchor="margin" w:xAlign="center" w:y="1"/>
      <w:rPr>
        <w:rStyle w:val="9"/>
      </w:rPr>
    </w:pPr>
    <w:r>
      <w:fldChar w:fldCharType="begin"/>
    </w:r>
    <w:r>
      <w:rPr>
        <w:rStyle w:val="9"/>
      </w:rPr>
      <w:instrText xml:space="preserve">PAGE  </w:instrText>
    </w:r>
    <w:r>
      <w:fldChar w:fldCharType="end"/>
    </w:r>
  </w:p>
  <w:p w14:paraId="611F1C23">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CA067">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C13A5E">
                          <w:pPr>
                            <w:pStyle w:val="5"/>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0C13A5E">
                    <w:pPr>
                      <w:pStyle w:val="5"/>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p w14:paraId="4539AD4D">
    <w:pPr>
      <w:pStyle w:val="5"/>
      <w:ind w:firstLine="1710" w:firstLineChars="95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91E19">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67C6D9">
                          <w:pPr>
                            <w:pStyle w:val="5"/>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B67C6D9">
                    <w:pPr>
                      <w:pStyle w:val="5"/>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5306D">
    <w:pPr>
      <w:pStyle w:val="6"/>
      <w:pBdr>
        <w:bottom w:val="none" w:color="auto" w:sz="0" w:space="0"/>
      </w:pBdr>
      <w:ind w:right="34"/>
      <w:jc w:val="both"/>
      <w:rPr>
        <w:rFonts w:ascii="宋体" w:hAnsi="宋体"/>
        <w:position w:val="6"/>
        <w:u w:val="none" w:color="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F2ECB"/>
    <w:multiLevelType w:val="singleLevel"/>
    <w:tmpl w:val="D44F2ECB"/>
    <w:lvl w:ilvl="0" w:tentative="0">
      <w:start w:val="1"/>
      <w:numFmt w:val="chineseCounting"/>
      <w:suff w:val="nothing"/>
      <w:lvlText w:val="（%1）"/>
      <w:lvlJc w:val="left"/>
      <w:pPr>
        <w:ind w:left="0" w:firstLine="420"/>
      </w:pPr>
      <w:rPr>
        <w:rFonts w:hint="eastAsia"/>
      </w:rPr>
    </w:lvl>
  </w:abstractNum>
  <w:abstractNum w:abstractNumId="1">
    <w:nsid w:val="00000000"/>
    <w:multiLevelType w:val="singleLevel"/>
    <w:tmpl w:val="00000000"/>
    <w:lvl w:ilvl="0" w:tentative="0">
      <w:start w:val="1"/>
      <w:numFmt w:val="chineseCounting"/>
      <w:suff w:val="space"/>
      <w:lvlText w:val="第%1条"/>
      <w:lvlJc w:val="left"/>
    </w:lvl>
  </w:abstractNum>
  <w:abstractNum w:abstractNumId="2">
    <w:nsid w:val="00000001"/>
    <w:multiLevelType w:val="singleLevel"/>
    <w:tmpl w:val="00000001"/>
    <w:lvl w:ilvl="0" w:tentative="0">
      <w:start w:val="8"/>
      <w:numFmt w:val="chineseCounting"/>
      <w:suff w:val="nothing"/>
      <w:lvlText w:val="%1、"/>
      <w:lvlJc w:val="left"/>
      <w:pPr>
        <w:ind w:left="0" w:firstLine="0"/>
      </w:pPr>
    </w:lvl>
  </w:abstractNum>
  <w:abstractNum w:abstractNumId="3">
    <w:nsid w:val="00000002"/>
    <w:multiLevelType w:val="singleLevel"/>
    <w:tmpl w:val="00000002"/>
    <w:lvl w:ilvl="0" w:tentative="0">
      <w:start w:val="7"/>
      <w:numFmt w:val="chineseCounting"/>
      <w:suff w:val="nothing"/>
      <w:lvlText w:val="%1、"/>
      <w:lvlJc w:val="left"/>
      <w:pPr>
        <w:ind w:left="0" w:firstLine="0"/>
      </w:pPr>
    </w:lvl>
  </w:abstractNum>
  <w:abstractNum w:abstractNumId="4">
    <w:nsid w:val="00000003"/>
    <w:multiLevelType w:val="singleLevel"/>
    <w:tmpl w:val="00000003"/>
    <w:lvl w:ilvl="0" w:tentative="0">
      <w:start w:val="3"/>
      <w:numFmt w:val="chineseCounting"/>
      <w:suff w:val="space"/>
      <w:lvlText w:val="第%1条"/>
      <w:lvlJc w:val="left"/>
    </w:lvl>
  </w:abstractNum>
  <w:abstractNum w:abstractNumId="5">
    <w:nsid w:val="00000004"/>
    <w:multiLevelType w:val="singleLevel"/>
    <w:tmpl w:val="00000004"/>
    <w:lvl w:ilvl="0" w:tentative="0">
      <w:start w:val="4"/>
      <w:numFmt w:val="decimal"/>
      <w:suff w:val="nothing"/>
      <w:lvlText w:val="%1、"/>
      <w:lvlJc w:val="left"/>
    </w:lvl>
  </w:abstractNum>
  <w:abstractNum w:abstractNumId="6">
    <w:nsid w:val="00000009"/>
    <w:multiLevelType w:val="singleLevel"/>
    <w:tmpl w:val="00000009"/>
    <w:lvl w:ilvl="0" w:tentative="0">
      <w:start w:val="3"/>
      <w:numFmt w:val="decimal"/>
      <w:suff w:val="nothing"/>
      <w:lvlText w:val="%1."/>
      <w:lvlJc w:val="left"/>
    </w:lvl>
  </w:abstractNum>
  <w:abstractNum w:abstractNumId="7">
    <w:nsid w:val="0000000B"/>
    <w:multiLevelType w:val="singleLevel"/>
    <w:tmpl w:val="0000000B"/>
    <w:lvl w:ilvl="0" w:tentative="0">
      <w:start w:val="2"/>
      <w:numFmt w:val="chineseCounting"/>
      <w:suff w:val="nothing"/>
      <w:lvlText w:val="%1、"/>
      <w:lvlJc w:val="left"/>
      <w:pPr>
        <w:ind w:left="0" w:firstLine="0"/>
      </w:pPr>
    </w:lvl>
  </w:abstractNum>
  <w:abstractNum w:abstractNumId="8">
    <w:nsid w:val="0000000C"/>
    <w:multiLevelType w:val="singleLevel"/>
    <w:tmpl w:val="0000000C"/>
    <w:lvl w:ilvl="0" w:tentative="0">
      <w:start w:val="1"/>
      <w:numFmt w:val="chineseCounting"/>
      <w:suff w:val="nothing"/>
      <w:lvlText w:val="%1、"/>
      <w:lvlJc w:val="left"/>
      <w:pPr>
        <w:ind w:left="0" w:firstLine="0"/>
      </w:pPr>
    </w:lvl>
  </w:abstractNum>
  <w:abstractNum w:abstractNumId="9">
    <w:nsid w:val="02965036"/>
    <w:multiLevelType w:val="singleLevel"/>
    <w:tmpl w:val="02965036"/>
    <w:lvl w:ilvl="0" w:tentative="0">
      <w:start w:val="2"/>
      <w:numFmt w:val="chineseCounting"/>
      <w:suff w:val="nothing"/>
      <w:lvlText w:val="（%1）"/>
      <w:lvlJc w:val="left"/>
      <w:rPr>
        <w:rFonts w:hint="eastAsia"/>
      </w:rPr>
    </w:lvl>
  </w:abstractNum>
  <w:abstractNum w:abstractNumId="10">
    <w:nsid w:val="33AB65B4"/>
    <w:multiLevelType w:val="singleLevel"/>
    <w:tmpl w:val="33AB65B4"/>
    <w:lvl w:ilvl="0" w:tentative="0">
      <w:start w:val="1"/>
      <w:numFmt w:val="chineseCounting"/>
      <w:suff w:val="nothing"/>
      <w:lvlText w:val="（%1）"/>
      <w:lvlJc w:val="left"/>
      <w:pPr>
        <w:ind w:left="0" w:firstLine="420"/>
      </w:pPr>
      <w:rPr>
        <w:rFonts w:hint="eastAsia"/>
      </w:rPr>
    </w:lvl>
  </w:abstractNum>
  <w:num w:numId="1">
    <w:abstractNumId w:val="10"/>
  </w:num>
  <w:num w:numId="2">
    <w:abstractNumId w:val="0"/>
  </w:num>
  <w:num w:numId="3">
    <w:abstractNumId w:val="6"/>
  </w:num>
  <w:num w:numId="4">
    <w:abstractNumId w:val="9"/>
  </w:num>
  <w:num w:numId="5">
    <w:abstractNumId w:val="1"/>
  </w:num>
  <w:num w:numId="6">
    <w:abstractNumId w:val="4"/>
  </w:num>
  <w:num w:numId="7">
    <w:abstractNumId w:val="5"/>
  </w:num>
  <w:num w:numId="8">
    <w:abstractNumId w:val="8"/>
    <w:lvlOverride w:ilvl="0">
      <w:startOverride w:val="1"/>
    </w:lvlOverride>
  </w:num>
  <w:num w:numId="9">
    <w:abstractNumId w:val="7"/>
    <w:lvlOverride w:ilvl="0">
      <w:startOverride w:val="2"/>
    </w:lvlOverride>
  </w:num>
  <w:num w:numId="10">
    <w:abstractNumId w:val="3"/>
    <w:lvlOverride w:ilvl="0">
      <w:startOverride w:val="7"/>
    </w:lvlOverride>
  </w:num>
  <w:num w:numId="11">
    <w:abstractNumId w:val="2"/>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9A1E3E"/>
    <w:rsid w:val="016E31DE"/>
    <w:rsid w:val="022133C2"/>
    <w:rsid w:val="043266E6"/>
    <w:rsid w:val="05FA0F6C"/>
    <w:rsid w:val="09F16528"/>
    <w:rsid w:val="0BC2005E"/>
    <w:rsid w:val="0D1150F2"/>
    <w:rsid w:val="0E22527D"/>
    <w:rsid w:val="108926F5"/>
    <w:rsid w:val="1215317C"/>
    <w:rsid w:val="12702044"/>
    <w:rsid w:val="151549CF"/>
    <w:rsid w:val="165A18B8"/>
    <w:rsid w:val="16C757B8"/>
    <w:rsid w:val="17202654"/>
    <w:rsid w:val="172F064F"/>
    <w:rsid w:val="1CDC5900"/>
    <w:rsid w:val="1D93671C"/>
    <w:rsid w:val="1DE14874"/>
    <w:rsid w:val="1DF041AC"/>
    <w:rsid w:val="2064408E"/>
    <w:rsid w:val="23F0560A"/>
    <w:rsid w:val="23FD32CF"/>
    <w:rsid w:val="26282E39"/>
    <w:rsid w:val="26A5448A"/>
    <w:rsid w:val="295C112C"/>
    <w:rsid w:val="2AB528AC"/>
    <w:rsid w:val="2C821B92"/>
    <w:rsid w:val="2DC75F44"/>
    <w:rsid w:val="36BD137C"/>
    <w:rsid w:val="380A05F1"/>
    <w:rsid w:val="39DE7F87"/>
    <w:rsid w:val="3A8233DA"/>
    <w:rsid w:val="3AE113B1"/>
    <w:rsid w:val="3BCE210F"/>
    <w:rsid w:val="3C5A39D8"/>
    <w:rsid w:val="3C65607A"/>
    <w:rsid w:val="3D347EBE"/>
    <w:rsid w:val="3D736590"/>
    <w:rsid w:val="3E9B294C"/>
    <w:rsid w:val="3FD17C46"/>
    <w:rsid w:val="41524DB6"/>
    <w:rsid w:val="4A0D1A51"/>
    <w:rsid w:val="4C3F1BAC"/>
    <w:rsid w:val="4C9A1E3E"/>
    <w:rsid w:val="4D8602C2"/>
    <w:rsid w:val="4D884224"/>
    <w:rsid w:val="4EB77C34"/>
    <w:rsid w:val="4FF82FCD"/>
    <w:rsid w:val="4FF9768F"/>
    <w:rsid w:val="50DC2AD2"/>
    <w:rsid w:val="513E0EB3"/>
    <w:rsid w:val="54D933CD"/>
    <w:rsid w:val="54E6485F"/>
    <w:rsid w:val="580A2819"/>
    <w:rsid w:val="59EF40A2"/>
    <w:rsid w:val="5A0720DB"/>
    <w:rsid w:val="5A622F73"/>
    <w:rsid w:val="5BAD4922"/>
    <w:rsid w:val="5E547F68"/>
    <w:rsid w:val="60B44CEE"/>
    <w:rsid w:val="611A5E3E"/>
    <w:rsid w:val="65240450"/>
    <w:rsid w:val="6A142C7F"/>
    <w:rsid w:val="6FD131C7"/>
    <w:rsid w:val="7016507D"/>
    <w:rsid w:val="716D6CE1"/>
    <w:rsid w:val="73601620"/>
    <w:rsid w:val="777728A5"/>
    <w:rsid w:val="77DB53B0"/>
    <w:rsid w:val="79615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52" w:lineRule="auto"/>
    </w:pPr>
    <w:rPr>
      <w:rFonts w:ascii="Calibri" w:hAnsi="Calibri" w:eastAsia="宋体" w:cs="Times New Roman"/>
      <w:sz w:val="22"/>
      <w:szCs w:val="22"/>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b/>
      <w:bCs/>
      <w:sz w:val="24"/>
      <w:szCs w:val="1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99"/>
    <w:pPr>
      <w:jc w:val="left"/>
    </w:p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spacing w:after="200" w:line="252" w:lineRule="auto"/>
      <w:jc w:val="left"/>
    </w:pPr>
    <w:rPr>
      <w:rFonts w:ascii="Calibri" w:hAnsi="Calibri" w:eastAsia="宋体" w:cs="Times New Roman"/>
      <w:sz w:val="18"/>
      <w:szCs w:val="18"/>
      <w:lang w:val="en-US" w:eastAsia="zh-CN" w:bidi="ar-SA"/>
    </w:rPr>
  </w:style>
  <w:style w:type="paragraph" w:styleId="6">
    <w:name w:val="header"/>
    <w:basedOn w:val="1"/>
    <w:qFormat/>
    <w:uiPriority w:val="0"/>
    <w:pPr>
      <w:pBdr>
        <w:bottom w:val="single" w:color="auto" w:sz="6" w:space="1"/>
      </w:pBdr>
      <w:tabs>
        <w:tab w:val="center" w:pos="4153"/>
        <w:tab w:val="right" w:pos="8306"/>
      </w:tabs>
      <w:snapToGrid w:val="0"/>
      <w:spacing w:after="200" w:line="252" w:lineRule="auto"/>
      <w:jc w:val="center"/>
    </w:pPr>
    <w:rPr>
      <w:rFonts w:ascii="Calibri" w:hAnsi="Calibri" w:eastAsia="宋体" w:cs="Times New Roman"/>
      <w:sz w:val="18"/>
      <w:szCs w:val="18"/>
      <w:lang w:val="en-US" w:eastAsia="zh-CN" w:bidi="ar-SA"/>
    </w:rPr>
  </w:style>
  <w:style w:type="character" w:styleId="9">
    <w:name w:val="page number"/>
    <w:basedOn w:val="8"/>
    <w:qFormat/>
    <w:uiPriority w:val="0"/>
  </w:style>
  <w:style w:type="character" w:styleId="10">
    <w:name w:val="annotation reference"/>
    <w:basedOn w:val="8"/>
    <w:qFormat/>
    <w:uiPriority w:val="0"/>
    <w:rPr>
      <w:sz w:val="21"/>
      <w:szCs w:val="21"/>
    </w:rPr>
  </w:style>
  <w:style w:type="paragraph" w:styleId="11">
    <w:name w:val="List Paragraph"/>
    <w:qFormat/>
    <w:uiPriority w:val="34"/>
    <w:pPr>
      <w:spacing w:after="200" w:line="252" w:lineRule="auto"/>
      <w:ind w:left="720"/>
      <w:contextualSpacing/>
    </w:pPr>
    <w:rPr>
      <w:rFonts w:ascii="Calibri" w:hAnsi="Calibri" w:eastAsia="宋体" w:cs="Times New Roman"/>
      <w:sz w:val="22"/>
      <w:szCs w:val="22"/>
      <w:lang w:val="en-US" w:eastAsia="zh-CN" w:bidi="ar-SA"/>
    </w:rPr>
  </w:style>
  <w:style w:type="paragraph" w:customStyle="1" w:styleId="12">
    <w:name w:val="正文标题"/>
    <w:basedOn w:val="1"/>
    <w:qFormat/>
    <w:uiPriority w:val="0"/>
    <w:pPr>
      <w:spacing w:beforeLines="50" w:afterLines="50" w:line="360" w:lineRule="auto"/>
      <w:ind w:left="105" w:leftChars="50" w:right="105" w:rightChars="50"/>
      <w:jc w:val="center"/>
    </w:pPr>
    <w:rPr>
      <w:b/>
      <w:snapToGrid w:val="0"/>
      <w:spacing w:val="40"/>
      <w:kern w:val="0"/>
      <w:sz w:val="30"/>
      <w:szCs w:val="32"/>
    </w:rPr>
  </w:style>
  <w:style w:type="paragraph" w:customStyle="1" w:styleId="13">
    <w:name w:val="大标题"/>
    <w:basedOn w:val="2"/>
    <w:qFormat/>
    <w:uiPriority w:val="0"/>
    <w:rPr>
      <w:rFonts w:ascii="宋体"/>
      <w:snapToGrid w:val="0"/>
      <w:kern w:val="0"/>
      <w:sz w:val="52"/>
      <w:szCs w:val="72"/>
    </w:rPr>
  </w:style>
  <w:style w:type="paragraph" w:customStyle="1" w:styleId="14">
    <w:name w:val="p0"/>
    <w:basedOn w:val="1"/>
    <w:qFormat/>
    <w:uiPriority w:val="0"/>
    <w:pPr>
      <w:widowControl/>
    </w:pPr>
    <w:rPr>
      <w:kern w:val="0"/>
      <w:szCs w:val="21"/>
    </w:rPr>
  </w:style>
  <w:style w:type="paragraph" w:customStyle="1" w:styleId="15">
    <w:name w:val="p0 New"/>
    <w:basedOn w:val="16"/>
    <w:qFormat/>
    <w:uiPriority w:val="0"/>
    <w:pPr>
      <w:widowControl/>
    </w:pPr>
    <w:rPr>
      <w:kern w:val="0"/>
      <w:szCs w:val="21"/>
    </w:rPr>
  </w:style>
  <w:style w:type="paragraph" w:customStyle="1" w:styleId="1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纯文本 New"/>
    <w:basedOn w:val="1"/>
    <w:qFormat/>
    <w:uiPriority w:val="0"/>
    <w:pPr>
      <w:widowControl w:val="0"/>
      <w:jc w:val="both"/>
    </w:pPr>
    <w:rPr>
      <w:rFonts w:ascii="宋体" w:hAnsi="Courier New"/>
      <w:kern w:val="2"/>
      <w:sz w:val="21"/>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19199</Words>
  <Characters>19651</Characters>
  <Lines>0</Lines>
  <Paragraphs>0</Paragraphs>
  <TotalTime>9</TotalTime>
  <ScaleCrop>false</ScaleCrop>
  <LinksUpToDate>false</LinksUpToDate>
  <CharactersWithSpaces>20432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2025-02-08T06:57:00Z</dcterms:created>
  <dc:creator>WJR</dc:creator>
  <cp:lastModifiedBy>Trity</cp:lastModifiedBy>
  <cp:lastPrinted>2025-05-20T09:21:00Z</cp:lastPrinted>
  <dcterms:modified xsi:type="dcterms:W3CDTF">2025-06-10T07:22:50Z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414A893B953346F19E6B8943FEAE1567_13</vt:lpwstr>
  </property>
  <property fmtid="{D5CDD505-2E9C-101B-9397-08002B2CF9AE}" pid="4" name="KSOTemplateDocerSaveRecord">
    <vt:lpwstr>eyJoZGlkIjoiZmE1ODY1ZGY1ZWE4Y2VjMmJjNzRkMDc4OTQ0NzE3NzgiLCJ1c2VySWQiOiIzNDkxMzQ0NDQifQ==</vt:lpwstr>
  </property>
</Properties>
</file>