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09F91C7">
      <w:pPr>
        <w:snapToGrid w:val="0"/>
        <w:spacing w:line="360" w:lineRule="auto"/>
        <w:rPr>
          <w:rFonts w:ascii="仿宋_GB2312" w:eastAsia="仿宋_GB2312"/>
          <w:sz w:val="24"/>
        </w:rPr>
      </w:pPr>
    </w:p>
    <w:p w14:paraId="301BE761">
      <w:pPr>
        <w:snapToGrid w:val="0"/>
        <w:spacing w:line="360" w:lineRule="auto"/>
        <w:rPr>
          <w:rFonts w:ascii="仿宋_GB2312" w:eastAsia="仿宋_GB2312"/>
          <w:sz w:val="24"/>
        </w:rPr>
      </w:pPr>
    </w:p>
    <w:p w14:paraId="072345A2">
      <w:pPr>
        <w:snapToGrid w:val="0"/>
        <w:spacing w:line="360" w:lineRule="auto"/>
        <w:jc w:val="center"/>
        <w:rPr>
          <w:rFonts w:ascii="仿宋_GB2312" w:eastAsia="仿宋_GB2312"/>
          <w:sz w:val="24"/>
        </w:rPr>
      </w:pPr>
    </w:p>
    <w:p w14:paraId="4DF269FC">
      <w:pPr>
        <w:snapToGrid w:val="0"/>
        <w:spacing w:line="360" w:lineRule="auto"/>
        <w:jc w:val="center"/>
        <w:rPr>
          <w:rFonts w:ascii="仿宋_GB2312" w:eastAsia="仿宋_GB2312"/>
          <w:sz w:val="24"/>
        </w:rPr>
      </w:pPr>
    </w:p>
    <w:p w14:paraId="7194BED6">
      <w:pPr>
        <w:snapToGrid w:val="0"/>
        <w:spacing w:line="300" w:lineRule="auto"/>
        <w:jc w:val="center"/>
        <w:rPr>
          <w:rFonts w:ascii="宋体" w:hAnsi="宋体" w:cs="宋体"/>
          <w:b/>
          <w:bCs/>
          <w:sz w:val="84"/>
          <w:szCs w:val="84"/>
        </w:rPr>
      </w:pPr>
      <w:r>
        <w:rPr>
          <w:rFonts w:hint="eastAsia" w:ascii="宋体" w:hAnsi="宋体" w:cs="宋体"/>
          <w:b/>
          <w:bCs/>
          <w:sz w:val="84"/>
          <w:szCs w:val="84"/>
        </w:rPr>
        <w:t>天河区农村集体资产</w:t>
      </w:r>
    </w:p>
    <w:p w14:paraId="016D0272">
      <w:pPr>
        <w:snapToGrid w:val="0"/>
        <w:spacing w:line="300" w:lineRule="auto"/>
        <w:jc w:val="center"/>
        <w:rPr>
          <w:rFonts w:ascii="宋体" w:hAnsi="宋体" w:cs="宋体"/>
          <w:b/>
          <w:bCs/>
          <w:sz w:val="84"/>
          <w:szCs w:val="84"/>
        </w:rPr>
      </w:pPr>
      <w:r>
        <w:rPr>
          <w:rFonts w:hint="eastAsia" w:ascii="宋体" w:hAnsi="宋体" w:cs="宋体"/>
          <w:b/>
          <w:bCs/>
          <w:sz w:val="84"/>
          <w:szCs w:val="84"/>
        </w:rPr>
        <w:t>出租交易文件</w:t>
      </w:r>
    </w:p>
    <w:p w14:paraId="50221029">
      <w:pPr>
        <w:spacing w:line="360" w:lineRule="auto"/>
        <w:rPr>
          <w:rFonts w:ascii="宋体" w:hAnsi="宋体" w:cs="宋体"/>
          <w:sz w:val="24"/>
        </w:rPr>
      </w:pPr>
    </w:p>
    <w:p w14:paraId="114DC8F0">
      <w:pPr>
        <w:spacing w:line="360" w:lineRule="auto"/>
        <w:rPr>
          <w:rFonts w:ascii="宋体" w:hAnsi="宋体" w:cs="宋体"/>
          <w:sz w:val="28"/>
          <w:szCs w:val="28"/>
        </w:rPr>
      </w:pPr>
    </w:p>
    <w:p w14:paraId="27C90915">
      <w:pPr>
        <w:spacing w:line="360" w:lineRule="auto"/>
        <w:rPr>
          <w:rFonts w:ascii="宋体" w:hAnsi="宋体" w:cs="宋体"/>
          <w:sz w:val="24"/>
        </w:rPr>
      </w:pPr>
    </w:p>
    <w:p w14:paraId="5BF9735F">
      <w:pPr>
        <w:pStyle w:val="20"/>
        <w:spacing w:after="0" w:line="360" w:lineRule="auto"/>
        <w:ind w:firstLine="1285" w:firstLineChars="400"/>
        <w:rPr>
          <w:rFonts w:ascii="宋体" w:hAnsi="宋体" w:cs="宋体"/>
          <w:b/>
          <w:color w:val="auto"/>
          <w:sz w:val="32"/>
        </w:rPr>
      </w:pPr>
      <w:r>
        <w:rPr>
          <w:rFonts w:hint="eastAsia" w:ascii="宋体" w:hAnsi="宋体" w:cs="宋体"/>
          <w:b/>
          <w:sz w:val="32"/>
        </w:rPr>
        <w:t>项目编号</w:t>
      </w:r>
      <w:r>
        <w:rPr>
          <w:rFonts w:hint="eastAsia" w:ascii="宋体" w:hAnsi="宋体" w:cs="宋体"/>
          <w:b/>
          <w:color w:val="auto"/>
          <w:sz w:val="32"/>
        </w:rPr>
        <w:t>：</w:t>
      </w:r>
      <w:r>
        <w:rPr>
          <w:rFonts w:hint="eastAsia" w:ascii="宋体" w:hAnsi="宋体" w:cs="宋体"/>
          <w:bCs/>
          <w:color w:val="auto"/>
          <w:sz w:val="32"/>
          <w:szCs w:val="32"/>
          <w:u w:val="single"/>
        </w:rPr>
        <w:t>前进经济联社交﹝202</w:t>
      </w:r>
      <w:r>
        <w:rPr>
          <w:rFonts w:hint="eastAsia" w:ascii="宋体" w:hAnsi="宋体" w:cs="宋体"/>
          <w:bCs/>
          <w:color w:val="auto"/>
          <w:sz w:val="32"/>
          <w:szCs w:val="32"/>
          <w:u w:val="single"/>
          <w:lang w:val="en-US" w:eastAsia="zh-CN"/>
        </w:rPr>
        <w:t>6</w:t>
      </w:r>
      <w:r>
        <w:rPr>
          <w:rFonts w:hint="eastAsia" w:ascii="宋体" w:hAnsi="宋体" w:cs="宋体"/>
          <w:bCs/>
          <w:color w:val="auto"/>
          <w:sz w:val="32"/>
          <w:szCs w:val="32"/>
          <w:u w:val="single"/>
        </w:rPr>
        <w:t>﹞</w:t>
      </w:r>
      <w:r>
        <w:rPr>
          <w:rFonts w:hint="eastAsia" w:ascii="宋体" w:hAnsi="宋体" w:cs="宋体"/>
          <w:bCs/>
          <w:color w:val="auto"/>
          <w:sz w:val="32"/>
          <w:szCs w:val="32"/>
          <w:u w:val="single"/>
          <w:lang w:val="en-US" w:eastAsia="zh-CN"/>
        </w:rPr>
        <w:t>0019</w:t>
      </w:r>
      <w:r>
        <w:rPr>
          <w:rFonts w:hint="eastAsia" w:ascii="宋体" w:hAnsi="宋体" w:cs="宋体"/>
          <w:bCs/>
          <w:color w:val="auto"/>
          <w:sz w:val="32"/>
          <w:szCs w:val="32"/>
          <w:u w:val="single"/>
        </w:rPr>
        <w:t>号</w:t>
      </w:r>
    </w:p>
    <w:p w14:paraId="021BC855">
      <w:pPr>
        <w:pStyle w:val="20"/>
        <w:spacing w:after="0" w:line="360" w:lineRule="auto"/>
        <w:ind w:left="2883" w:leftChars="608" w:hanging="1606" w:hangingChars="500"/>
        <w:rPr>
          <w:rFonts w:ascii="宋体" w:hAnsi="宋体" w:cs="宋体"/>
          <w:bCs/>
          <w:color w:val="auto"/>
          <w:sz w:val="32"/>
          <w:u w:val="single"/>
        </w:rPr>
      </w:pPr>
      <w:r>
        <w:rPr>
          <w:rFonts w:hint="eastAsia" w:ascii="宋体" w:hAnsi="宋体" w:cs="宋体"/>
          <w:b/>
          <w:color w:val="auto"/>
          <w:sz w:val="32"/>
        </w:rPr>
        <w:t>项目名称：</w:t>
      </w:r>
      <w:r>
        <w:rPr>
          <w:rFonts w:hint="eastAsia" w:ascii="宋体" w:hAnsi="宋体" w:cs="宋体"/>
          <w:bCs/>
          <w:color w:val="auto"/>
          <w:sz w:val="32"/>
          <w:u w:val="single"/>
          <w:lang w:val="en-US" w:eastAsia="zh-CN"/>
        </w:rPr>
        <w:t>前进置业公司</w:t>
      </w:r>
      <w:r>
        <w:rPr>
          <w:rFonts w:hint="eastAsia" w:ascii="宋体" w:hAnsi="宋体" w:cs="宋体"/>
          <w:bCs/>
          <w:color w:val="auto"/>
          <w:sz w:val="32"/>
          <w:u w:val="single"/>
        </w:rPr>
        <w:t>黄埔大道</w:t>
      </w:r>
      <w:r>
        <w:rPr>
          <w:rFonts w:hint="eastAsia" w:ascii="宋体" w:hAnsi="宋体" w:cs="宋体"/>
          <w:bCs/>
          <w:color w:val="auto"/>
          <w:sz w:val="32"/>
          <w:u w:val="single"/>
          <w:lang w:val="en-US" w:eastAsia="zh-CN"/>
        </w:rPr>
        <w:t>东555</w:t>
      </w:r>
      <w:r>
        <w:rPr>
          <w:rFonts w:hint="eastAsia" w:ascii="宋体" w:hAnsi="宋体" w:cs="宋体"/>
          <w:bCs/>
          <w:color w:val="auto"/>
          <w:sz w:val="32"/>
          <w:u w:val="single"/>
        </w:rPr>
        <w:t>号</w:t>
      </w:r>
      <w:r>
        <w:rPr>
          <w:rFonts w:hint="eastAsia" w:ascii="宋体" w:hAnsi="宋体" w:cs="宋体"/>
          <w:bCs/>
          <w:color w:val="auto"/>
          <w:sz w:val="32"/>
          <w:u w:val="single"/>
          <w:lang w:eastAsia="zh-CN"/>
        </w:rPr>
        <w:t>物业及场地</w:t>
      </w:r>
      <w:r>
        <w:rPr>
          <w:rFonts w:hint="eastAsia" w:ascii="宋体" w:hAnsi="宋体" w:cs="宋体"/>
          <w:bCs/>
          <w:color w:val="auto"/>
          <w:sz w:val="32"/>
          <w:u w:val="single"/>
        </w:rPr>
        <w:t>出租</w:t>
      </w:r>
    </w:p>
    <w:p w14:paraId="4E201E7C">
      <w:pPr>
        <w:pStyle w:val="20"/>
        <w:spacing w:after="0" w:line="360" w:lineRule="auto"/>
        <w:ind w:firstLine="1205" w:firstLineChars="400"/>
        <w:rPr>
          <w:rFonts w:ascii="宋体" w:hAnsi="宋体" w:cs="宋体"/>
          <w:b/>
          <w:sz w:val="30"/>
          <w:szCs w:val="30"/>
        </w:rPr>
      </w:pPr>
      <w:r>
        <w:rPr>
          <w:rFonts w:hint="eastAsia" w:ascii="宋体" w:hAnsi="宋体" w:cs="宋体"/>
          <w:b/>
          <w:sz w:val="30"/>
          <w:szCs w:val="30"/>
        </w:rPr>
        <w:t xml:space="preserve"> </w:t>
      </w:r>
    </w:p>
    <w:p w14:paraId="7C7197CD">
      <w:pPr>
        <w:pStyle w:val="20"/>
        <w:spacing w:after="0" w:line="360" w:lineRule="auto"/>
        <w:ind w:firstLine="1205" w:firstLineChars="400"/>
        <w:rPr>
          <w:rFonts w:ascii="宋体" w:hAnsi="宋体" w:cs="宋体"/>
          <w:b/>
          <w:sz w:val="30"/>
          <w:szCs w:val="30"/>
        </w:rPr>
      </w:pPr>
    </w:p>
    <w:p w14:paraId="6FA1BD15">
      <w:pPr>
        <w:pStyle w:val="20"/>
        <w:spacing w:after="0" w:line="360" w:lineRule="auto"/>
        <w:ind w:firstLine="1205" w:firstLineChars="400"/>
        <w:rPr>
          <w:rFonts w:ascii="宋体" w:hAnsi="宋体" w:cs="宋体"/>
          <w:b/>
          <w:sz w:val="30"/>
          <w:szCs w:val="30"/>
        </w:rPr>
      </w:pPr>
    </w:p>
    <w:p w14:paraId="565CD65C">
      <w:pPr>
        <w:pStyle w:val="20"/>
        <w:spacing w:after="0" w:line="360" w:lineRule="auto"/>
        <w:ind w:firstLine="1205" w:firstLineChars="400"/>
        <w:rPr>
          <w:rFonts w:ascii="宋体" w:hAnsi="宋体" w:cs="宋体"/>
          <w:b/>
          <w:sz w:val="30"/>
          <w:szCs w:val="30"/>
        </w:rPr>
      </w:pPr>
    </w:p>
    <w:p w14:paraId="4B1A573C">
      <w:pPr>
        <w:pStyle w:val="20"/>
        <w:spacing w:after="0" w:line="360" w:lineRule="auto"/>
        <w:ind w:firstLine="1285" w:firstLineChars="400"/>
        <w:rPr>
          <w:rFonts w:hint="eastAsia" w:ascii="宋体" w:hAnsi="宋体" w:eastAsia="宋体" w:cs="宋体"/>
          <w:b/>
          <w:sz w:val="32"/>
          <w:u w:val="single"/>
          <w:lang w:eastAsia="zh-CN"/>
        </w:rPr>
      </w:pPr>
      <w:r>
        <w:rPr>
          <w:rFonts w:hint="eastAsia" w:ascii="宋体" w:hAnsi="宋体" w:cs="宋体"/>
          <w:b/>
          <w:sz w:val="32"/>
        </w:rPr>
        <w:t>编制单位</w:t>
      </w:r>
      <w:r>
        <w:rPr>
          <w:rFonts w:hint="eastAsia" w:ascii="宋体" w:hAnsi="宋体" w:cs="宋体"/>
          <w:b/>
          <w:sz w:val="30"/>
          <w:szCs w:val="30"/>
        </w:rPr>
        <w:t>：</w:t>
      </w:r>
      <w:r>
        <w:rPr>
          <w:rFonts w:hint="eastAsia" w:ascii="宋体" w:hAnsi="宋体" w:cs="宋体"/>
          <w:bCs/>
          <w:sz w:val="30"/>
          <w:szCs w:val="30"/>
          <w:u w:val="single"/>
        </w:rPr>
        <w:t>广州市前进置业发展有限公司</w:t>
      </w:r>
    </w:p>
    <w:p w14:paraId="6546EE9A">
      <w:pPr>
        <w:pStyle w:val="20"/>
        <w:spacing w:after="0" w:line="360" w:lineRule="auto"/>
        <w:ind w:firstLine="1285" w:firstLineChars="400"/>
        <w:rPr>
          <w:rFonts w:ascii="宋体" w:hAnsi="宋体" w:cs="宋体"/>
          <w:b/>
          <w:color w:val="auto"/>
          <w:sz w:val="32"/>
        </w:rPr>
      </w:pPr>
      <w:r>
        <w:rPr>
          <w:rFonts w:hint="eastAsia" w:ascii="宋体" w:hAnsi="宋体" w:cs="宋体"/>
          <w:b/>
          <w:color w:val="auto"/>
          <w:sz w:val="32"/>
        </w:rPr>
        <w:t>编制日期：202</w:t>
      </w:r>
      <w:r>
        <w:rPr>
          <w:rFonts w:hint="eastAsia" w:ascii="宋体" w:hAnsi="宋体" w:cs="宋体"/>
          <w:b/>
          <w:color w:val="auto"/>
          <w:sz w:val="32"/>
          <w:lang w:val="en-US" w:eastAsia="zh-CN"/>
        </w:rPr>
        <w:t>6</w:t>
      </w:r>
      <w:r>
        <w:rPr>
          <w:rFonts w:hint="eastAsia" w:ascii="宋体" w:hAnsi="宋体" w:cs="宋体"/>
          <w:b/>
          <w:color w:val="auto"/>
          <w:sz w:val="32"/>
        </w:rPr>
        <w:t>年</w:t>
      </w:r>
      <w:r>
        <w:rPr>
          <w:rFonts w:hint="eastAsia" w:ascii="宋体" w:hAnsi="宋体" w:cs="宋体"/>
          <w:b/>
          <w:color w:val="auto"/>
          <w:sz w:val="32"/>
          <w:lang w:val="en-US" w:eastAsia="zh-CN"/>
        </w:rPr>
        <w:t>2</w:t>
      </w:r>
      <w:r>
        <w:rPr>
          <w:rFonts w:hint="eastAsia" w:ascii="宋体" w:hAnsi="宋体" w:cs="宋体"/>
          <w:b/>
          <w:color w:val="auto"/>
          <w:sz w:val="32"/>
        </w:rPr>
        <w:t>月</w:t>
      </w:r>
      <w:r>
        <w:rPr>
          <w:rFonts w:hint="eastAsia" w:ascii="宋体" w:hAnsi="宋体" w:cs="宋体"/>
          <w:b/>
          <w:color w:val="auto"/>
          <w:sz w:val="32"/>
          <w:lang w:val="en-US" w:eastAsia="zh-CN"/>
        </w:rPr>
        <w:t>10</w:t>
      </w:r>
      <w:r>
        <w:rPr>
          <w:rFonts w:hint="eastAsia" w:ascii="宋体" w:hAnsi="宋体" w:cs="宋体"/>
          <w:b/>
          <w:color w:val="auto"/>
          <w:sz w:val="32"/>
        </w:rPr>
        <w:t>日</w:t>
      </w:r>
    </w:p>
    <w:p w14:paraId="04378DF2">
      <w:pPr>
        <w:snapToGrid w:val="0"/>
        <w:spacing w:line="360" w:lineRule="auto"/>
        <w:ind w:firstLine="1205" w:firstLineChars="400"/>
        <w:rPr>
          <w:rFonts w:ascii="宋体" w:hAnsi="宋体" w:cs="宋体"/>
          <w:b/>
          <w:sz w:val="30"/>
          <w:szCs w:val="30"/>
        </w:rPr>
      </w:pPr>
    </w:p>
    <w:p w14:paraId="642AF508">
      <w:pPr>
        <w:snapToGrid w:val="0"/>
        <w:spacing w:line="360" w:lineRule="auto"/>
        <w:ind w:firstLine="1205" w:firstLineChars="400"/>
        <w:rPr>
          <w:rFonts w:ascii="宋体" w:hAnsi="宋体" w:cs="宋体"/>
          <w:b/>
          <w:sz w:val="30"/>
          <w:szCs w:val="30"/>
        </w:rPr>
      </w:pPr>
    </w:p>
    <w:p w14:paraId="10AEDC71">
      <w:pPr>
        <w:snapToGrid w:val="0"/>
        <w:spacing w:line="360" w:lineRule="auto"/>
        <w:rPr>
          <w:rFonts w:ascii="宋体" w:hAnsi="宋体" w:cs="宋体"/>
          <w:b/>
          <w:sz w:val="30"/>
          <w:szCs w:val="30"/>
        </w:rPr>
      </w:pPr>
    </w:p>
    <w:p w14:paraId="6787799B">
      <w:pPr>
        <w:snapToGrid w:val="0"/>
        <w:spacing w:line="360" w:lineRule="auto"/>
        <w:jc w:val="center"/>
        <w:rPr>
          <w:rFonts w:ascii="宋体" w:hAnsi="宋体" w:cs="宋体"/>
          <w:b/>
          <w:sz w:val="32"/>
        </w:rPr>
      </w:pPr>
      <w:r>
        <w:rPr>
          <w:rFonts w:hint="eastAsia" w:ascii="宋体" w:hAnsi="宋体" w:cs="宋体"/>
          <w:b/>
          <w:sz w:val="32"/>
        </w:rPr>
        <w:t>交易服务机构：广州市天河区农村集体资产交易中心</w:t>
      </w:r>
    </w:p>
    <w:p w14:paraId="20A5A93B">
      <w:pPr>
        <w:snapToGrid w:val="0"/>
        <w:spacing w:line="360" w:lineRule="auto"/>
        <w:jc w:val="center"/>
        <w:rPr>
          <w:rFonts w:ascii="宋体" w:hAnsi="宋体" w:cs="宋体"/>
          <w:b/>
          <w:sz w:val="32"/>
        </w:rPr>
      </w:pPr>
    </w:p>
    <w:p w14:paraId="747068B0">
      <w:pPr>
        <w:pStyle w:val="102"/>
        <w:spacing w:beforeLines="0" w:afterLines="0" w:line="400" w:lineRule="exact"/>
        <w:ind w:left="0" w:leftChars="0" w:right="0" w:rightChars="0"/>
        <w:rPr>
          <w:rFonts w:ascii="宋体" w:hAnsi="宋体" w:cs="宋体"/>
          <w:sz w:val="32"/>
        </w:rPr>
      </w:pPr>
      <w:r>
        <w:rPr>
          <w:rFonts w:hint="eastAsia" w:ascii="宋体" w:hAnsi="宋体" w:cs="宋体"/>
          <w:bCs/>
          <w:snapToGrid/>
          <w:spacing w:val="0"/>
          <w:kern w:val="2"/>
          <w:sz w:val="32"/>
        </w:rPr>
        <w:t>第一部分  竞投邀请函</w:t>
      </w:r>
    </w:p>
    <w:p w14:paraId="7B8F83CF">
      <w:pPr>
        <w:spacing w:before="200" w:line="400" w:lineRule="exact"/>
        <w:rPr>
          <w:rFonts w:ascii="仿宋" w:hAnsi="仿宋" w:eastAsia="仿宋" w:cs="仿宋"/>
          <w:kern w:val="0"/>
          <w:sz w:val="24"/>
        </w:rPr>
      </w:pPr>
      <w:r>
        <w:rPr>
          <w:rFonts w:hint="eastAsia" w:ascii="仿宋" w:hAnsi="仿宋" w:eastAsia="仿宋" w:cs="仿宋"/>
          <w:kern w:val="0"/>
          <w:sz w:val="24"/>
        </w:rPr>
        <w:t>各（潜在）竞投人:</w:t>
      </w:r>
    </w:p>
    <w:p w14:paraId="45247A2C">
      <w:pPr>
        <w:overflowPunct w:val="0"/>
        <w:autoSpaceDE w:val="0"/>
        <w:spacing w:line="400" w:lineRule="exact"/>
        <w:ind w:firstLine="480" w:firstLineChars="200"/>
        <w:jc w:val="left"/>
        <w:rPr>
          <w:rFonts w:ascii="仿宋" w:hAnsi="仿宋" w:eastAsia="仿宋" w:cs="仿宋"/>
          <w:sz w:val="24"/>
          <w:u w:val="single"/>
        </w:rPr>
      </w:pPr>
      <w:r>
        <w:rPr>
          <w:rFonts w:hint="eastAsia" w:ascii="仿宋" w:hAnsi="仿宋" w:eastAsia="仿宋" w:cs="仿宋"/>
          <w:sz w:val="24"/>
        </w:rPr>
        <w:t>广州市天河区农村集体资产交易中心受</w:t>
      </w:r>
      <w:r>
        <w:rPr>
          <w:rFonts w:hint="eastAsia" w:ascii="仿宋" w:hAnsi="仿宋" w:eastAsia="仿宋" w:cs="仿宋"/>
          <w:sz w:val="24"/>
          <w:u w:val="single"/>
          <w:lang w:eastAsia="zh-CN"/>
        </w:rPr>
        <w:t>广州市前进置业发展有限公司</w:t>
      </w:r>
      <w:r>
        <w:rPr>
          <w:rFonts w:hint="eastAsia" w:ascii="仿宋" w:hAnsi="仿宋" w:eastAsia="仿宋" w:cs="仿宋"/>
          <w:sz w:val="24"/>
        </w:rPr>
        <w:t>的委托，定于</w:t>
      </w:r>
      <w:r>
        <w:rPr>
          <w:rFonts w:hint="eastAsia" w:ascii="仿宋" w:hAnsi="仿宋" w:eastAsia="仿宋" w:cs="仿宋"/>
          <w:sz w:val="24"/>
          <w:u w:val="single"/>
          <w:lang w:val="en-US" w:eastAsia="zh-CN"/>
        </w:rPr>
        <w:t xml:space="preserve"> 2026-5-29 10：00  </w:t>
      </w:r>
      <w:r>
        <w:rPr>
          <w:rFonts w:hint="eastAsia" w:ascii="仿宋" w:hAnsi="仿宋" w:eastAsia="仿宋" w:cs="仿宋"/>
          <w:sz w:val="24"/>
        </w:rPr>
        <w:t>对</w:t>
      </w:r>
      <w:r>
        <w:rPr>
          <w:rFonts w:hint="eastAsia" w:ascii="仿宋" w:hAnsi="仿宋" w:eastAsia="仿宋" w:cs="仿宋"/>
          <w:sz w:val="24"/>
          <w:u w:val="single"/>
        </w:rPr>
        <w:t>前进置业公司黄埔大道东555号物业及场地出租</w:t>
      </w:r>
      <w:r>
        <w:rPr>
          <w:rFonts w:hint="eastAsia" w:ascii="仿宋" w:hAnsi="仿宋" w:eastAsia="仿宋" w:cs="仿宋"/>
          <w:sz w:val="24"/>
        </w:rPr>
        <w:t>项目（项目编号：</w:t>
      </w:r>
      <w:r>
        <w:rPr>
          <w:rFonts w:hint="eastAsia" w:ascii="仿宋" w:hAnsi="仿宋" w:eastAsia="仿宋" w:cs="仿宋"/>
          <w:sz w:val="24"/>
          <w:u w:val="single"/>
        </w:rPr>
        <w:t>前进经济联社交</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6</w:t>
      </w:r>
      <w:r>
        <w:rPr>
          <w:rFonts w:hint="eastAsia" w:ascii="仿宋" w:hAnsi="仿宋" w:eastAsia="仿宋" w:cs="仿宋"/>
          <w:color w:val="auto"/>
          <w:sz w:val="24"/>
          <w:u w:val="single"/>
        </w:rPr>
        <w:t>﹞</w:t>
      </w:r>
      <w:r>
        <w:rPr>
          <w:rFonts w:hint="eastAsia" w:ascii="仿宋" w:hAnsi="仿宋" w:eastAsia="仿宋" w:cs="仿宋"/>
          <w:color w:val="auto"/>
          <w:sz w:val="24"/>
          <w:u w:val="single"/>
          <w:lang w:val="en-US" w:eastAsia="zh-CN"/>
        </w:rPr>
        <w:t>0019</w:t>
      </w:r>
      <w:r>
        <w:rPr>
          <w:rFonts w:hint="eastAsia" w:ascii="仿宋" w:hAnsi="仿宋" w:eastAsia="仿宋" w:cs="仿宋"/>
          <w:color w:val="auto"/>
          <w:sz w:val="24"/>
          <w:u w:val="single"/>
        </w:rPr>
        <w:t>号</w:t>
      </w:r>
      <w:r>
        <w:rPr>
          <w:rFonts w:hint="eastAsia" w:ascii="仿宋" w:hAnsi="仿宋" w:eastAsia="仿宋" w:cs="仿宋"/>
          <w:color w:val="auto"/>
          <w:sz w:val="24"/>
        </w:rPr>
        <w:t>）进行</w:t>
      </w:r>
      <w:r>
        <w:rPr>
          <w:rFonts w:hint="eastAsia" w:ascii="仿宋" w:hAnsi="仿宋" w:eastAsia="仿宋" w:cs="仿宋"/>
          <w:color w:val="auto"/>
          <w:sz w:val="24"/>
          <w:u w:val="single"/>
        </w:rPr>
        <w:t>网上竞投</w:t>
      </w:r>
      <w:r>
        <w:rPr>
          <w:rFonts w:hint="eastAsia" w:ascii="仿宋" w:hAnsi="仿宋" w:eastAsia="仿宋" w:cs="仿宋"/>
          <w:color w:val="auto"/>
          <w:sz w:val="24"/>
        </w:rPr>
        <w:t>，公示期为</w:t>
      </w:r>
      <w:r>
        <w:rPr>
          <w:rFonts w:hint="eastAsia" w:ascii="仿宋" w:hAnsi="仿宋" w:eastAsia="仿宋" w:cs="仿宋"/>
          <w:color w:val="auto"/>
          <w:sz w:val="24"/>
          <w:u w:val="single"/>
          <w:lang w:val="en-US" w:eastAsia="zh-CN"/>
        </w:rPr>
        <w:t xml:space="preserve"> 2026-5-7 </w:t>
      </w:r>
      <w:r>
        <w:rPr>
          <w:rFonts w:hint="eastAsia" w:ascii="仿宋" w:hAnsi="仿宋" w:eastAsia="仿宋" w:cs="仿宋"/>
          <w:color w:val="auto"/>
          <w:sz w:val="24"/>
          <w:u w:val="single"/>
        </w:rPr>
        <w:t>至</w:t>
      </w:r>
      <w:r>
        <w:rPr>
          <w:rFonts w:hint="eastAsia" w:ascii="仿宋" w:hAnsi="仿宋" w:eastAsia="仿宋" w:cs="仿宋"/>
          <w:color w:val="auto"/>
          <w:sz w:val="24"/>
          <w:u w:val="single"/>
          <w:lang w:val="en-US" w:eastAsia="zh-CN"/>
        </w:rPr>
        <w:t xml:space="preserve">2026-5-27 </w:t>
      </w:r>
      <w:r>
        <w:rPr>
          <w:rFonts w:hint="eastAsia" w:ascii="仿宋" w:hAnsi="仿宋" w:eastAsia="仿宋" w:cs="仿宋"/>
          <w:color w:val="auto"/>
          <w:sz w:val="24"/>
        </w:rPr>
        <w:t>，</w:t>
      </w:r>
      <w:r>
        <w:rPr>
          <w:rFonts w:hint="eastAsia" w:ascii="仿宋" w:hAnsi="仿宋" w:eastAsia="仿宋" w:cs="仿宋"/>
          <w:color w:val="auto"/>
          <w:sz w:val="24"/>
          <w:lang w:val="zh-CN"/>
        </w:rPr>
        <w:t>欢迎符合资格条件</w:t>
      </w:r>
      <w:r>
        <w:rPr>
          <w:rFonts w:hint="eastAsia" w:ascii="仿宋" w:hAnsi="仿宋" w:eastAsia="仿宋" w:cs="仿宋"/>
          <w:color w:val="auto"/>
          <w:sz w:val="24"/>
        </w:rPr>
        <w:t>的意向人参与竞投。</w:t>
      </w:r>
    </w:p>
    <w:p w14:paraId="2007EE15">
      <w:pPr>
        <w:autoSpaceDE w:val="0"/>
        <w:autoSpaceDN w:val="0"/>
        <w:spacing w:after="100" w:line="400" w:lineRule="exact"/>
        <w:rPr>
          <w:rFonts w:ascii="仿宋" w:hAnsi="仿宋" w:eastAsia="仿宋" w:cs="仿宋"/>
          <w:b/>
          <w:sz w:val="24"/>
        </w:rPr>
      </w:pPr>
      <w:r>
        <w:rPr>
          <w:rFonts w:hint="eastAsia" w:ascii="仿宋" w:hAnsi="仿宋" w:eastAsia="仿宋" w:cs="仿宋"/>
          <w:b/>
          <w:sz w:val="24"/>
        </w:rPr>
        <w:t>一、项目内容：</w:t>
      </w:r>
    </w:p>
    <w:tbl>
      <w:tblPr>
        <w:tblStyle w:val="5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2520"/>
        <w:gridCol w:w="1571"/>
        <w:gridCol w:w="2281"/>
        <w:gridCol w:w="1784"/>
      </w:tblGrid>
      <w:tr w14:paraId="28679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3" w:type="dxa"/>
            <w:vAlign w:val="center"/>
          </w:tcPr>
          <w:p w14:paraId="34D731E8">
            <w:pPr>
              <w:spacing w:line="400" w:lineRule="exact"/>
              <w:jc w:val="center"/>
              <w:rPr>
                <w:rFonts w:ascii="仿宋" w:hAnsi="仿宋" w:eastAsia="仿宋" w:cs="仿宋"/>
                <w:szCs w:val="21"/>
              </w:rPr>
            </w:pPr>
            <w:r>
              <w:rPr>
                <w:rFonts w:hint="eastAsia" w:ascii="仿宋" w:hAnsi="仿宋" w:eastAsia="仿宋" w:cs="仿宋"/>
                <w:b/>
                <w:szCs w:val="21"/>
              </w:rPr>
              <w:t>序号</w:t>
            </w:r>
          </w:p>
        </w:tc>
        <w:tc>
          <w:tcPr>
            <w:tcW w:w="2520" w:type="dxa"/>
            <w:vAlign w:val="center"/>
          </w:tcPr>
          <w:p w14:paraId="069C7522">
            <w:pPr>
              <w:spacing w:line="400" w:lineRule="exact"/>
              <w:jc w:val="center"/>
              <w:rPr>
                <w:rFonts w:ascii="仿宋" w:hAnsi="仿宋" w:eastAsia="仿宋" w:cs="仿宋"/>
                <w:szCs w:val="21"/>
              </w:rPr>
            </w:pPr>
            <w:r>
              <w:rPr>
                <w:rFonts w:hint="eastAsia" w:ascii="仿宋" w:hAnsi="仿宋" w:eastAsia="仿宋" w:cs="仿宋"/>
                <w:b/>
                <w:szCs w:val="21"/>
              </w:rPr>
              <w:t>项目名称</w:t>
            </w:r>
          </w:p>
        </w:tc>
        <w:tc>
          <w:tcPr>
            <w:tcW w:w="1571" w:type="dxa"/>
            <w:vAlign w:val="center"/>
          </w:tcPr>
          <w:p w14:paraId="392C9C91">
            <w:pPr>
              <w:spacing w:line="400" w:lineRule="exact"/>
              <w:jc w:val="center"/>
              <w:rPr>
                <w:rFonts w:ascii="仿宋" w:hAnsi="仿宋" w:eastAsia="仿宋" w:cs="仿宋"/>
                <w:szCs w:val="21"/>
              </w:rPr>
            </w:pPr>
            <w:r>
              <w:rPr>
                <w:rFonts w:hint="eastAsia" w:ascii="仿宋" w:hAnsi="仿宋" w:eastAsia="仿宋" w:cs="仿宋"/>
                <w:b/>
                <w:szCs w:val="21"/>
              </w:rPr>
              <w:t>合同期限</w:t>
            </w:r>
          </w:p>
        </w:tc>
        <w:tc>
          <w:tcPr>
            <w:tcW w:w="2281" w:type="dxa"/>
            <w:vAlign w:val="center"/>
          </w:tcPr>
          <w:p w14:paraId="02322332">
            <w:pPr>
              <w:spacing w:line="400" w:lineRule="exact"/>
              <w:jc w:val="center"/>
              <w:rPr>
                <w:rFonts w:ascii="仿宋" w:hAnsi="仿宋" w:eastAsia="仿宋" w:cs="仿宋"/>
                <w:szCs w:val="21"/>
              </w:rPr>
            </w:pPr>
            <w:r>
              <w:rPr>
                <w:rFonts w:hint="eastAsia" w:ascii="仿宋" w:hAnsi="仿宋" w:eastAsia="仿宋" w:cs="仿宋"/>
                <w:b/>
                <w:szCs w:val="21"/>
              </w:rPr>
              <w:t>交易面积</w:t>
            </w:r>
          </w:p>
        </w:tc>
        <w:tc>
          <w:tcPr>
            <w:tcW w:w="1784" w:type="dxa"/>
            <w:vAlign w:val="center"/>
          </w:tcPr>
          <w:p w14:paraId="2725B1DC">
            <w:pPr>
              <w:spacing w:line="400" w:lineRule="exact"/>
              <w:jc w:val="center"/>
              <w:rPr>
                <w:rFonts w:ascii="仿宋" w:hAnsi="仿宋" w:eastAsia="仿宋" w:cs="仿宋"/>
                <w:szCs w:val="21"/>
              </w:rPr>
            </w:pPr>
            <w:r>
              <w:rPr>
                <w:rFonts w:hint="eastAsia" w:ascii="仿宋" w:hAnsi="仿宋" w:eastAsia="仿宋" w:cs="仿宋"/>
                <w:b/>
                <w:szCs w:val="21"/>
              </w:rPr>
              <w:t>交易底价</w:t>
            </w:r>
          </w:p>
        </w:tc>
      </w:tr>
      <w:tr w14:paraId="37C35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3" w:type="dxa"/>
            <w:vAlign w:val="center"/>
          </w:tcPr>
          <w:p w14:paraId="6B589FB1">
            <w:pPr>
              <w:overflowPunct w:val="0"/>
              <w:autoSpaceDE w:val="0"/>
              <w:spacing w:line="40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p>
        </w:tc>
        <w:tc>
          <w:tcPr>
            <w:tcW w:w="2520" w:type="dxa"/>
            <w:vAlign w:val="center"/>
          </w:tcPr>
          <w:p w14:paraId="67D230B5">
            <w:pPr>
              <w:overflowPunct w:val="0"/>
              <w:autoSpaceDE w:val="0"/>
              <w:spacing w:line="400" w:lineRule="exact"/>
              <w:jc w:val="left"/>
              <w:rPr>
                <w:rFonts w:hint="eastAsia" w:ascii="仿宋" w:hAnsi="仿宋" w:eastAsia="仿宋" w:cs="仿宋"/>
                <w:color w:val="auto"/>
                <w:sz w:val="24"/>
              </w:rPr>
            </w:pPr>
            <w:r>
              <w:rPr>
                <w:rFonts w:hint="eastAsia" w:ascii="仿宋" w:hAnsi="仿宋" w:eastAsia="仿宋" w:cs="仿宋"/>
                <w:sz w:val="24"/>
                <w:u w:val="single"/>
              </w:rPr>
              <w:t>前进置业公司黄埔大道东555号物业及场地出租</w:t>
            </w:r>
          </w:p>
        </w:tc>
        <w:tc>
          <w:tcPr>
            <w:tcW w:w="1571" w:type="dxa"/>
            <w:vAlign w:val="center"/>
          </w:tcPr>
          <w:p w14:paraId="5DEDF3E8">
            <w:pPr>
              <w:overflowPunct w:val="0"/>
              <w:autoSpaceDE w:val="0"/>
              <w:spacing w:line="400" w:lineRule="exact"/>
              <w:jc w:val="center"/>
              <w:rPr>
                <w:rFonts w:hint="eastAsia" w:ascii="仿宋_GB2312" w:hAnsi="宋体" w:eastAsia="仿宋_GB2312"/>
                <w:color w:val="auto"/>
                <w:sz w:val="24"/>
              </w:rPr>
            </w:pPr>
            <w:r>
              <w:rPr>
                <w:rFonts w:hint="eastAsia" w:ascii="仿宋" w:hAnsi="仿宋" w:eastAsia="仿宋" w:cs="仿宋"/>
                <w:color w:val="auto"/>
                <w:sz w:val="24"/>
                <w:lang w:val="en-US" w:eastAsia="zh-CN"/>
              </w:rPr>
              <w:t>20年</w:t>
            </w:r>
          </w:p>
        </w:tc>
        <w:tc>
          <w:tcPr>
            <w:tcW w:w="2281" w:type="dxa"/>
            <w:vAlign w:val="center"/>
          </w:tcPr>
          <w:p w14:paraId="060CEFF1">
            <w:pPr>
              <w:overflowPunct w:val="0"/>
              <w:autoSpaceDE w:val="0"/>
              <w:spacing w:line="400" w:lineRule="exact"/>
              <w:jc w:val="left"/>
              <w:rPr>
                <w:rFonts w:ascii="仿宋" w:hAnsi="仿宋" w:eastAsia="仿宋" w:cs="仿宋"/>
                <w:color w:val="auto"/>
                <w:sz w:val="24"/>
              </w:rPr>
            </w:pPr>
            <w:r>
              <w:rPr>
                <w:rFonts w:hint="eastAsia" w:ascii="仿宋" w:hAnsi="仿宋" w:eastAsia="仿宋" w:cs="仿宋"/>
                <w:color w:val="auto"/>
                <w:sz w:val="24"/>
              </w:rPr>
              <w:t xml:space="preserve">交易总面积 </w:t>
            </w:r>
            <w:r>
              <w:rPr>
                <w:rFonts w:hint="eastAsia" w:ascii="仿宋" w:hAnsi="仿宋" w:eastAsia="仿宋" w:cs="仿宋"/>
                <w:color w:val="auto"/>
                <w:sz w:val="24"/>
                <w:lang w:val="en-US" w:eastAsia="zh-CN"/>
              </w:rPr>
              <w:t>22489.10</w:t>
            </w:r>
            <w:r>
              <w:rPr>
                <w:rFonts w:hint="eastAsia" w:ascii="仿宋" w:hAnsi="仿宋" w:eastAsia="仿宋" w:cs="仿宋"/>
                <w:color w:val="auto"/>
                <w:sz w:val="24"/>
              </w:rPr>
              <w:t>平方米（其中：物业建筑面积</w:t>
            </w:r>
            <w:r>
              <w:rPr>
                <w:rFonts w:hint="eastAsia" w:ascii="仿宋" w:hAnsi="仿宋" w:eastAsia="仿宋" w:cs="仿宋"/>
                <w:color w:val="auto"/>
                <w:sz w:val="24"/>
                <w:lang w:val="en-US" w:eastAsia="zh-CN"/>
              </w:rPr>
              <w:t>17373.82</w:t>
            </w:r>
            <w:r>
              <w:rPr>
                <w:rFonts w:hint="eastAsia" w:ascii="仿宋" w:hAnsi="仿宋" w:eastAsia="仿宋" w:cs="仿宋"/>
                <w:color w:val="auto"/>
                <w:sz w:val="24"/>
              </w:rPr>
              <w:t>平方米、场地面积</w:t>
            </w:r>
            <w:r>
              <w:rPr>
                <w:rFonts w:hint="eastAsia" w:ascii="仿宋" w:hAnsi="仿宋" w:eastAsia="仿宋" w:cs="仿宋"/>
                <w:color w:val="auto"/>
                <w:sz w:val="24"/>
                <w:lang w:val="en-US" w:eastAsia="zh-CN"/>
              </w:rPr>
              <w:t>5115.28</w:t>
            </w:r>
            <w:r>
              <w:rPr>
                <w:rFonts w:hint="eastAsia" w:ascii="仿宋" w:hAnsi="仿宋" w:eastAsia="仿宋" w:cs="仿宋"/>
                <w:color w:val="auto"/>
                <w:sz w:val="24"/>
              </w:rPr>
              <w:t>平方米）</w:t>
            </w:r>
          </w:p>
        </w:tc>
        <w:tc>
          <w:tcPr>
            <w:tcW w:w="1784" w:type="dxa"/>
            <w:vAlign w:val="center"/>
          </w:tcPr>
          <w:p w14:paraId="71BAD83B">
            <w:pPr>
              <w:overflowPunct w:val="0"/>
              <w:autoSpaceDE w:val="0"/>
              <w:spacing w:line="400" w:lineRule="exact"/>
              <w:jc w:val="left"/>
              <w:rPr>
                <w:rFonts w:hint="default" w:ascii="仿宋" w:hAnsi="仿宋" w:eastAsia="仿宋" w:cs="仿宋"/>
                <w:color w:val="auto"/>
                <w:sz w:val="24"/>
                <w:lang w:val="en-US"/>
              </w:rPr>
            </w:pPr>
            <w:r>
              <w:rPr>
                <w:rFonts w:hint="eastAsia" w:ascii="仿宋" w:hAnsi="仿宋" w:eastAsia="仿宋" w:cs="仿宋"/>
                <w:color w:val="auto"/>
                <w:sz w:val="24"/>
                <w:lang w:val="en-US" w:eastAsia="zh-CN"/>
              </w:rPr>
              <w:t>物业31元/平方米/月；场地10元/平方米/月（不参与竞价）</w:t>
            </w:r>
          </w:p>
        </w:tc>
      </w:tr>
    </w:tbl>
    <w:p w14:paraId="0647C828">
      <w:pPr>
        <w:numPr>
          <w:ilvl w:val="0"/>
          <w:numId w:val="2"/>
        </w:numPr>
        <w:autoSpaceDE w:val="0"/>
        <w:autoSpaceDN w:val="0"/>
        <w:spacing w:before="100" w:line="400" w:lineRule="exact"/>
        <w:ind w:firstLine="240" w:firstLineChars="100"/>
        <w:rPr>
          <w:rFonts w:ascii="仿宋" w:hAnsi="仿宋" w:eastAsia="仿宋" w:cs="仿宋"/>
          <w:color w:val="auto"/>
          <w:sz w:val="24"/>
        </w:rPr>
      </w:pPr>
      <w:r>
        <w:rPr>
          <w:rFonts w:hint="eastAsia" w:ascii="仿宋" w:hAnsi="仿宋" w:eastAsia="仿宋" w:cs="仿宋"/>
          <w:color w:val="auto"/>
          <w:sz w:val="24"/>
        </w:rPr>
        <w:t>竞投自然递增报价：</w:t>
      </w:r>
      <w:r>
        <w:rPr>
          <w:rFonts w:hint="eastAsia" w:ascii="仿宋" w:hAnsi="仿宋" w:eastAsia="仿宋" w:cs="仿宋"/>
          <w:color w:val="auto"/>
          <w:sz w:val="24"/>
          <w:u w:val="single"/>
        </w:rPr>
        <w:t xml:space="preserve"> </w:t>
      </w:r>
      <w:r>
        <w:rPr>
          <w:rFonts w:hint="eastAsia" w:ascii="仿宋" w:hAnsi="仿宋" w:eastAsia="仿宋" w:cs="仿宋"/>
          <w:bCs/>
          <w:color w:val="auto"/>
          <w:sz w:val="24"/>
          <w:u w:val="single"/>
          <w:lang w:val="en-US" w:eastAsia="zh-CN"/>
        </w:rPr>
        <w:t>1</w:t>
      </w:r>
      <w:r>
        <w:rPr>
          <w:rFonts w:hint="eastAsia" w:ascii="仿宋" w:hAnsi="仿宋" w:eastAsia="仿宋" w:cs="仿宋"/>
          <w:bCs/>
          <w:color w:val="auto"/>
          <w:sz w:val="24"/>
          <w:u w:val="single"/>
        </w:rPr>
        <w:t>元</w:t>
      </w:r>
      <w:r>
        <w:rPr>
          <w:rFonts w:hint="eastAsia" w:ascii="仿宋" w:hAnsi="仿宋" w:eastAsia="仿宋" w:cs="仿宋"/>
          <w:bCs/>
          <w:color w:val="auto"/>
          <w:sz w:val="24"/>
          <w:u w:val="single"/>
          <w:lang w:val="en-US" w:eastAsia="zh-CN"/>
        </w:rPr>
        <w:t>/平方米</w:t>
      </w:r>
      <w:r>
        <w:rPr>
          <w:rFonts w:hint="eastAsia" w:ascii="仿宋" w:hAnsi="仿宋" w:eastAsia="仿宋" w:cs="仿宋"/>
          <w:bCs/>
          <w:color w:val="auto"/>
          <w:sz w:val="24"/>
          <w:u w:val="single"/>
        </w:rPr>
        <w:t>/月</w:t>
      </w:r>
    </w:p>
    <w:p w14:paraId="3D5670A1">
      <w:pPr>
        <w:numPr>
          <w:ilvl w:val="0"/>
          <w:numId w:val="2"/>
        </w:numPr>
        <w:autoSpaceDE w:val="0"/>
        <w:autoSpaceDN w:val="0"/>
        <w:spacing w:before="100" w:line="400" w:lineRule="exact"/>
        <w:ind w:firstLine="240" w:firstLineChars="100"/>
        <w:rPr>
          <w:rFonts w:ascii="仿宋" w:hAnsi="仿宋" w:eastAsia="仿宋" w:cs="仿宋"/>
          <w:color w:val="auto"/>
          <w:sz w:val="24"/>
          <w:u w:val="single"/>
        </w:rPr>
      </w:pPr>
      <w:r>
        <w:rPr>
          <w:rFonts w:hint="eastAsia" w:ascii="仿宋" w:hAnsi="仿宋" w:eastAsia="仿宋" w:cs="仿宋"/>
          <w:color w:val="auto"/>
          <w:sz w:val="24"/>
        </w:rPr>
        <w:t>每次最高加价金额：</w:t>
      </w:r>
      <w:r>
        <w:rPr>
          <w:rFonts w:hint="eastAsia" w:ascii="仿宋" w:hAnsi="仿宋" w:eastAsia="仿宋" w:cs="仿宋"/>
          <w:color w:val="auto"/>
          <w:sz w:val="24"/>
          <w:u w:val="single"/>
        </w:rPr>
        <w:t xml:space="preserve"> </w:t>
      </w:r>
      <w:r>
        <w:rPr>
          <w:rFonts w:hint="eastAsia" w:ascii="仿宋" w:hAnsi="仿宋" w:eastAsia="仿宋" w:cs="仿宋"/>
          <w:bCs/>
          <w:color w:val="auto"/>
          <w:sz w:val="24"/>
          <w:u w:val="single"/>
          <w:lang w:val="en-US" w:eastAsia="zh-CN"/>
        </w:rPr>
        <w:t>5</w:t>
      </w:r>
      <w:r>
        <w:rPr>
          <w:rFonts w:hint="eastAsia" w:ascii="仿宋" w:hAnsi="仿宋" w:eastAsia="仿宋" w:cs="仿宋"/>
          <w:bCs/>
          <w:color w:val="auto"/>
          <w:sz w:val="24"/>
          <w:u w:val="single"/>
        </w:rPr>
        <w:t>元</w:t>
      </w:r>
      <w:r>
        <w:rPr>
          <w:rFonts w:hint="eastAsia" w:ascii="仿宋" w:hAnsi="仿宋" w:eastAsia="仿宋" w:cs="仿宋"/>
          <w:bCs/>
          <w:color w:val="auto"/>
          <w:sz w:val="24"/>
          <w:u w:val="single"/>
          <w:lang w:val="en-US" w:eastAsia="zh-CN"/>
        </w:rPr>
        <w:t>/平方米</w:t>
      </w:r>
      <w:r>
        <w:rPr>
          <w:rFonts w:hint="eastAsia" w:ascii="仿宋" w:hAnsi="仿宋" w:eastAsia="仿宋" w:cs="仿宋"/>
          <w:bCs/>
          <w:color w:val="auto"/>
          <w:sz w:val="24"/>
          <w:u w:val="single"/>
        </w:rPr>
        <w:t>/月</w:t>
      </w:r>
    </w:p>
    <w:p w14:paraId="102A7F89">
      <w:pPr>
        <w:autoSpaceDE w:val="0"/>
        <w:autoSpaceDN w:val="0"/>
        <w:spacing w:line="400" w:lineRule="exact"/>
        <w:ind w:firstLine="240" w:firstLineChars="100"/>
        <w:rPr>
          <w:rFonts w:ascii="仿宋" w:hAnsi="仿宋" w:eastAsia="仿宋" w:cs="仿宋"/>
          <w:color w:val="auto"/>
          <w:sz w:val="24"/>
          <w:u w:val="single"/>
        </w:rPr>
      </w:pPr>
      <w:r>
        <w:rPr>
          <w:rFonts w:hint="eastAsia" w:ascii="仿宋" w:hAnsi="仿宋" w:eastAsia="仿宋" w:cs="仿宋"/>
          <w:color w:val="auto"/>
          <w:sz w:val="24"/>
        </w:rPr>
        <w:t>（三）交易方式：</w:t>
      </w:r>
      <w:r>
        <w:rPr>
          <w:rFonts w:hint="eastAsia" w:ascii="仿宋" w:hAnsi="仿宋" w:eastAsia="仿宋" w:cs="仿宋"/>
          <w:color w:val="auto"/>
          <w:sz w:val="24"/>
          <w:u w:val="single"/>
        </w:rPr>
        <w:t>网上竞投</w:t>
      </w:r>
    </w:p>
    <w:p w14:paraId="2BC43C9D">
      <w:pPr>
        <w:autoSpaceDE w:val="0"/>
        <w:autoSpaceDN w:val="0"/>
        <w:spacing w:line="400" w:lineRule="exact"/>
        <w:ind w:firstLine="240" w:firstLineChars="100"/>
        <w:rPr>
          <w:rFonts w:ascii="仿宋" w:hAnsi="仿宋" w:eastAsia="仿宋" w:cs="仿宋"/>
          <w:sz w:val="24"/>
        </w:rPr>
      </w:pPr>
      <w:r>
        <w:rPr>
          <w:rFonts w:hint="eastAsia" w:ascii="仿宋" w:hAnsi="仿宋" w:eastAsia="仿宋" w:cs="仿宋"/>
          <w:color w:val="auto"/>
          <w:sz w:val="24"/>
        </w:rPr>
        <w:t>（四）交易保证金：人民币</w:t>
      </w:r>
      <w:r>
        <w:rPr>
          <w:rFonts w:hint="eastAsia" w:ascii="仿宋" w:hAnsi="仿宋" w:eastAsia="仿宋" w:cs="仿宋"/>
          <w:color w:val="auto"/>
          <w:sz w:val="24"/>
          <w:u w:val="single"/>
        </w:rPr>
        <w:t>¥</w:t>
      </w:r>
      <w:r>
        <w:rPr>
          <w:rFonts w:hint="eastAsia" w:ascii="仿宋" w:hAnsi="仿宋" w:eastAsia="仿宋" w:cs="仿宋"/>
          <w:color w:val="auto"/>
          <w:sz w:val="24"/>
          <w:u w:val="single"/>
          <w:lang w:val="en-US" w:eastAsia="zh-CN"/>
        </w:rPr>
        <w:t>3000000</w:t>
      </w:r>
      <w:r>
        <w:rPr>
          <w:rFonts w:hint="eastAsia" w:ascii="仿宋" w:hAnsi="仿宋" w:eastAsia="仿宋" w:cs="仿宋"/>
          <w:color w:val="auto"/>
          <w:sz w:val="24"/>
          <w:u w:val="single"/>
        </w:rPr>
        <w:t>元（大写：</w:t>
      </w:r>
      <w:r>
        <w:rPr>
          <w:rFonts w:hint="eastAsia" w:ascii="仿宋" w:hAnsi="仿宋" w:eastAsia="仿宋" w:cs="仿宋"/>
          <w:color w:val="auto"/>
          <w:sz w:val="24"/>
          <w:u w:val="single"/>
          <w:lang w:eastAsia="zh-CN"/>
        </w:rPr>
        <w:t>叁佰万元整</w:t>
      </w:r>
      <w:r>
        <w:rPr>
          <w:rFonts w:hint="eastAsia" w:ascii="仿宋" w:hAnsi="仿宋" w:eastAsia="仿宋" w:cs="仿宋"/>
          <w:color w:val="auto"/>
          <w:sz w:val="24"/>
          <w:u w:val="single"/>
        </w:rPr>
        <w:t>）</w:t>
      </w:r>
      <w:r>
        <w:rPr>
          <w:rFonts w:hint="eastAsia" w:ascii="仿宋" w:hAnsi="仿宋" w:eastAsia="仿宋" w:cs="仿宋"/>
          <w:sz w:val="24"/>
        </w:rPr>
        <w:t>。</w:t>
      </w:r>
    </w:p>
    <w:p w14:paraId="245D634E">
      <w:pPr>
        <w:autoSpaceDE w:val="0"/>
        <w:autoSpaceDN w:val="0"/>
        <w:spacing w:line="40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1.</w:t>
      </w:r>
      <w:r>
        <w:rPr>
          <w:rFonts w:hint="eastAsia" w:ascii="仿宋" w:hAnsi="仿宋" w:eastAsia="仿宋" w:cs="仿宋"/>
          <w:b/>
          <w:bCs/>
          <w:color w:val="000000"/>
          <w:sz w:val="24"/>
        </w:rPr>
        <w:t>银行转账方式交纳</w:t>
      </w:r>
      <w:r>
        <w:rPr>
          <w:rFonts w:hint="eastAsia" w:ascii="仿宋" w:hAnsi="仿宋" w:eastAsia="仿宋" w:cs="仿宋"/>
          <w:color w:val="000000"/>
          <w:sz w:val="24"/>
        </w:rPr>
        <w:t>：竞投人请登录广州市天河区农村集体资产管理平台http://szjy.thnet.gov.cn/或关注“天河农村集体资产交易”微信公众号，点击【网上竞投】模块→选择意向项目报名→获取交易保证金账号，</w:t>
      </w:r>
      <w:r>
        <w:rPr>
          <w:rFonts w:hint="eastAsia" w:ascii="仿宋" w:hAnsi="仿宋" w:eastAsia="仿宋" w:cs="仿宋"/>
          <w:b/>
          <w:bCs/>
          <w:color w:val="000000"/>
          <w:sz w:val="24"/>
        </w:rPr>
        <w:t>在报名结束前</w:t>
      </w:r>
      <w:r>
        <w:rPr>
          <w:rFonts w:hint="eastAsia" w:ascii="仿宋" w:hAnsi="仿宋" w:eastAsia="仿宋" w:cs="仿宋"/>
          <w:color w:val="000000"/>
          <w:sz w:val="24"/>
        </w:rPr>
        <w:t>确保交易保证金一次性全额到达指定账户。</w:t>
      </w:r>
    </w:p>
    <w:p w14:paraId="69E285D1">
      <w:pPr>
        <w:autoSpaceDE w:val="0"/>
        <w:autoSpaceDN w:val="0"/>
        <w:spacing w:line="40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注：（1）交易保证金仅限于通过银行的渠道进行转账，包括手机银行、网上银行、柜台转账等（拒收支付宝转账、微信转账、现金存款）；</w:t>
      </w:r>
    </w:p>
    <w:p w14:paraId="27625F12">
      <w:pPr>
        <w:autoSpaceDE w:val="0"/>
        <w:autoSpaceDN w:val="0"/>
        <w:spacing w:line="40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（2）一个项目对应一个银行账号；</w:t>
      </w:r>
    </w:p>
    <w:p w14:paraId="7A049BD2">
      <w:pPr>
        <w:autoSpaceDE w:val="0"/>
        <w:autoSpaceDN w:val="0"/>
        <w:spacing w:line="40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（3）报名的最后一天，为确保交易系统能及时获取银行系统的到账信息，建议竞投意向人提前完成交易保证金转账及网上报名。</w:t>
      </w:r>
    </w:p>
    <w:p w14:paraId="5A66D291">
      <w:pPr>
        <w:autoSpaceDE w:val="0"/>
        <w:autoSpaceDN w:val="0"/>
        <w:spacing w:line="40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2.</w:t>
      </w:r>
      <w:r>
        <w:rPr>
          <w:rFonts w:hint="eastAsia" w:ascii="仿宋" w:hAnsi="仿宋" w:eastAsia="仿宋" w:cs="仿宋"/>
          <w:b/>
          <w:bCs/>
          <w:color w:val="000000"/>
          <w:sz w:val="24"/>
        </w:rPr>
        <w:t>银行保函方式交纳</w:t>
      </w:r>
      <w:r>
        <w:rPr>
          <w:rFonts w:hint="eastAsia" w:ascii="仿宋" w:hAnsi="仿宋" w:eastAsia="仿宋" w:cs="仿宋"/>
          <w:color w:val="000000"/>
          <w:sz w:val="24"/>
        </w:rPr>
        <w:t>：竞投人需要使用保函参与竞投的，自行向</w:t>
      </w:r>
      <w:r>
        <w:rPr>
          <w:rFonts w:hint="eastAsia" w:ascii="仿宋" w:hAnsi="仿宋" w:eastAsia="仿宋" w:cs="仿宋"/>
          <w:b/>
          <w:bCs/>
          <w:color w:val="000000"/>
          <w:sz w:val="24"/>
        </w:rPr>
        <w:t>广州市范围内的</w:t>
      </w:r>
      <w:r>
        <w:rPr>
          <w:rFonts w:hint="eastAsia" w:ascii="仿宋" w:hAnsi="仿宋" w:eastAsia="仿宋" w:cs="仿宋"/>
          <w:b/>
          <w:bCs/>
          <w:color w:val="000000"/>
          <w:sz w:val="24"/>
          <w:lang w:val="en-US" w:eastAsia="zh-CN"/>
        </w:rPr>
        <w:t>工商银行、农业银行、中国</w:t>
      </w:r>
      <w:r>
        <w:rPr>
          <w:rFonts w:hint="eastAsia" w:ascii="仿宋" w:hAnsi="仿宋" w:eastAsia="仿宋" w:cs="仿宋"/>
          <w:b/>
          <w:bCs/>
          <w:color w:val="000000"/>
          <w:sz w:val="24"/>
        </w:rPr>
        <w:t>银行</w:t>
      </w:r>
      <w:r>
        <w:rPr>
          <w:rFonts w:hint="eastAsia" w:ascii="仿宋" w:hAnsi="仿宋" w:eastAsia="仿宋" w:cs="仿宋"/>
          <w:b/>
          <w:bCs/>
          <w:color w:val="000000"/>
          <w:sz w:val="24"/>
          <w:lang w:eastAsia="zh-CN"/>
        </w:rPr>
        <w:t>、</w:t>
      </w:r>
      <w:r>
        <w:rPr>
          <w:rFonts w:hint="eastAsia" w:ascii="仿宋" w:hAnsi="仿宋" w:eastAsia="仿宋" w:cs="仿宋"/>
          <w:b/>
          <w:bCs/>
          <w:color w:val="000000"/>
          <w:sz w:val="24"/>
          <w:lang w:val="en-US" w:eastAsia="zh-CN"/>
        </w:rPr>
        <w:t>建设银行</w:t>
      </w:r>
      <w:r>
        <w:rPr>
          <w:rFonts w:hint="eastAsia" w:ascii="仿宋" w:hAnsi="仿宋" w:eastAsia="仿宋" w:cs="仿宋"/>
          <w:b/>
          <w:bCs/>
          <w:color w:val="000000"/>
          <w:sz w:val="24"/>
        </w:rPr>
        <w:t>网点</w:t>
      </w:r>
      <w:r>
        <w:rPr>
          <w:rFonts w:hint="eastAsia" w:ascii="仿宋" w:hAnsi="仿宋" w:eastAsia="仿宋" w:cs="仿宋"/>
          <w:color w:val="000000"/>
          <w:sz w:val="24"/>
        </w:rPr>
        <w:t>申请开立不可撤销且见索即付的《天河区农村集体资产公开竞投交易保证金保函》。</w:t>
      </w:r>
      <w:r>
        <w:rPr>
          <w:rFonts w:hint="eastAsia" w:ascii="仿宋" w:hAnsi="仿宋" w:eastAsia="仿宋" w:cs="仿宋"/>
          <w:b/>
          <w:bCs/>
          <w:color w:val="000000"/>
          <w:sz w:val="24"/>
        </w:rPr>
        <w:t>在交易公告约定的交易保证金交纳截至日期前2个工作日，</w:t>
      </w:r>
      <w:r>
        <w:rPr>
          <w:rFonts w:hint="eastAsia" w:ascii="仿宋" w:hAnsi="仿宋" w:eastAsia="仿宋" w:cs="仿宋"/>
          <w:color w:val="000000"/>
          <w:sz w:val="24"/>
        </w:rPr>
        <w:t>登录广州市天河区农村集体资产管理平台http://szjy.thnet.gov.cn/或关注“天河农村集体资产交易”微信公众号，点击【网上竞投】模块→选择意向项目报名→</w:t>
      </w:r>
      <w:r>
        <w:rPr>
          <w:rFonts w:hint="eastAsia" w:ascii="仿宋" w:hAnsi="仿宋" w:eastAsia="仿宋" w:cs="仿宋"/>
          <w:b/>
          <w:bCs/>
          <w:color w:val="000000"/>
          <w:sz w:val="24"/>
        </w:rPr>
        <w:t>上传交易保证金保函正本</w:t>
      </w:r>
      <w:r>
        <w:rPr>
          <w:rFonts w:hint="eastAsia" w:ascii="仿宋" w:hAnsi="仿宋" w:eastAsia="仿宋" w:cs="仿宋"/>
          <w:color w:val="000000"/>
          <w:sz w:val="24"/>
        </w:rPr>
        <w:t>。</w:t>
      </w:r>
    </w:p>
    <w:p w14:paraId="2A2A35D5">
      <w:pPr>
        <w:autoSpaceDE w:val="0"/>
        <w:autoSpaceDN w:val="0"/>
        <w:spacing w:line="400" w:lineRule="exact"/>
        <w:ind w:firstLine="482" w:firstLineChars="200"/>
        <w:rPr>
          <w:rFonts w:ascii="仿宋" w:hAnsi="仿宋" w:eastAsia="仿宋" w:cs="仿宋"/>
          <w:sz w:val="24"/>
        </w:rPr>
      </w:pPr>
      <w:r>
        <w:rPr>
          <w:rFonts w:hint="eastAsia" w:ascii="仿宋" w:hAnsi="仿宋" w:eastAsia="仿宋" w:cs="仿宋"/>
          <w:b/>
          <w:bCs/>
          <w:color w:val="000000"/>
          <w:sz w:val="24"/>
        </w:rPr>
        <w:t>注：竞投人须在报名时间截止前将保函正本原件存于天河区农村集体资产交易中心，逾期视为未报名成功。</w:t>
      </w:r>
    </w:p>
    <w:p w14:paraId="046D7E40">
      <w:pPr>
        <w:autoSpaceDE w:val="0"/>
        <w:autoSpaceDN w:val="0"/>
        <w:spacing w:line="400" w:lineRule="exact"/>
        <w:ind w:firstLine="240" w:firstLineChars="100"/>
        <w:rPr>
          <w:rFonts w:ascii="仿宋" w:hAnsi="仿宋" w:eastAsia="仿宋" w:cs="仿宋"/>
          <w:bCs/>
          <w:sz w:val="24"/>
        </w:rPr>
      </w:pPr>
      <w:r>
        <w:rPr>
          <w:rFonts w:hint="eastAsia" w:ascii="仿宋" w:hAnsi="仿宋" w:eastAsia="仿宋" w:cs="仿宋"/>
          <w:sz w:val="24"/>
        </w:rPr>
        <w:t>（五）详情请查阅交易文件“第二部分 项目内容”。</w:t>
      </w:r>
    </w:p>
    <w:p w14:paraId="5D272AF9">
      <w:pPr>
        <w:autoSpaceDE w:val="0"/>
        <w:autoSpaceDN w:val="0"/>
        <w:spacing w:line="400" w:lineRule="exact"/>
        <w:rPr>
          <w:rFonts w:ascii="仿宋" w:hAnsi="仿宋" w:eastAsia="仿宋" w:cs="仿宋"/>
          <w:b/>
          <w:sz w:val="24"/>
        </w:rPr>
      </w:pPr>
      <w:r>
        <w:rPr>
          <w:rFonts w:hint="eastAsia" w:ascii="仿宋" w:hAnsi="仿宋" w:eastAsia="仿宋" w:cs="仿宋"/>
          <w:b/>
          <w:sz w:val="24"/>
        </w:rPr>
        <w:t>二、竞投人资格要求：</w:t>
      </w:r>
    </w:p>
    <w:p w14:paraId="1375B07B">
      <w:pPr>
        <w:spacing w:line="400" w:lineRule="exact"/>
        <w:ind w:firstLine="240" w:firstLineChars="100"/>
        <w:rPr>
          <w:rFonts w:hint="eastAsia" w:ascii="仿宋" w:hAnsi="仿宋" w:eastAsia="仿宋" w:cs="仿宋"/>
          <w:sz w:val="24"/>
        </w:rPr>
      </w:pPr>
      <w:r>
        <w:rPr>
          <w:rFonts w:hint="eastAsia" w:ascii="仿宋" w:hAnsi="仿宋" w:eastAsia="仿宋" w:cs="仿宋"/>
          <w:sz w:val="24"/>
        </w:rPr>
        <w:t>（一）竞投人必须是在中华人民共和国境内注册并合法存续的企业法人、除法律法规另有规定外；</w:t>
      </w:r>
    </w:p>
    <w:p w14:paraId="68CDB471">
      <w:pPr>
        <w:spacing w:line="400" w:lineRule="exact"/>
        <w:ind w:firstLine="240" w:firstLineChars="100"/>
        <w:rPr>
          <w:rFonts w:hint="eastAsia" w:ascii="仿宋" w:hAnsi="仿宋" w:eastAsia="仿宋" w:cs="仿宋"/>
          <w:color w:val="auto"/>
          <w:sz w:val="24"/>
        </w:rPr>
      </w:pPr>
      <w:r>
        <w:rPr>
          <w:rFonts w:hint="eastAsia" w:ascii="仿宋" w:hAnsi="仿宋" w:eastAsia="仿宋" w:cs="仿宋"/>
          <w:color w:val="auto"/>
          <w:sz w:val="24"/>
        </w:rPr>
        <w:t>（二）项目业主单位要求竞投人满足以下资质方可参与竞投：</w:t>
      </w:r>
    </w:p>
    <w:p w14:paraId="0C085126">
      <w:pPr>
        <w:spacing w:line="400" w:lineRule="exact"/>
        <w:ind w:firstLine="240" w:firstLineChars="100"/>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1.</w:t>
      </w:r>
      <w:r>
        <w:rPr>
          <w:rFonts w:hint="eastAsia" w:ascii="仿宋" w:hAnsi="仿宋" w:eastAsia="仿宋" w:cs="仿宋"/>
          <w:color w:val="auto"/>
          <w:sz w:val="24"/>
        </w:rPr>
        <w:t>竞投人</w:t>
      </w:r>
      <w:r>
        <w:rPr>
          <w:rFonts w:hint="eastAsia" w:ascii="仿宋" w:hAnsi="仿宋" w:eastAsia="仿宋" w:cs="仿宋"/>
          <w:color w:val="auto"/>
          <w:sz w:val="24"/>
          <w:lang w:eastAsia="zh-CN"/>
        </w:rPr>
        <w:t>的经营范围</w:t>
      </w:r>
      <w:r>
        <w:rPr>
          <w:rFonts w:hint="eastAsia" w:ascii="仿宋" w:hAnsi="仿宋" w:eastAsia="仿宋" w:cs="仿宋"/>
          <w:color w:val="auto"/>
          <w:sz w:val="24"/>
        </w:rPr>
        <w:t>必须</w:t>
      </w:r>
      <w:r>
        <w:rPr>
          <w:rFonts w:hint="eastAsia" w:ascii="仿宋" w:hAnsi="仿宋" w:eastAsia="仿宋" w:cs="仿宋"/>
          <w:color w:val="auto"/>
          <w:sz w:val="24"/>
          <w:lang w:eastAsia="zh-CN"/>
        </w:rPr>
        <w:t>含有： 广告制作;广告设计、代理;互联网数据服务;互联网安全服务;互联网域名注册服务;互联网域名根服务器运行;互联网信息服务;网络技术服务;</w:t>
      </w:r>
    </w:p>
    <w:p w14:paraId="0391E0A4">
      <w:pPr>
        <w:spacing w:line="400" w:lineRule="exact"/>
        <w:ind w:firstLine="240" w:firstLineChars="1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2.竞投人曾获广东省专精特新中小企业或以上称号，并在我国拥有不少于1项（含1项）处于法定保护期限内的专利；</w:t>
      </w:r>
    </w:p>
    <w:p w14:paraId="6F06A819">
      <w:pPr>
        <w:spacing w:line="400" w:lineRule="exact"/>
        <w:ind w:firstLine="240" w:firstLineChars="1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3.</w:t>
      </w:r>
      <w:r>
        <w:rPr>
          <w:rFonts w:hint="eastAsia" w:ascii="仿宋" w:hAnsi="仿宋" w:eastAsia="仿宋" w:cs="仿宋"/>
          <w:color w:val="auto"/>
          <w:sz w:val="24"/>
        </w:rPr>
        <w:t>竞投人企业实缴注册资本不低于</w:t>
      </w:r>
      <w:r>
        <w:rPr>
          <w:rFonts w:hint="eastAsia" w:ascii="仿宋" w:hAnsi="仿宋" w:eastAsia="仿宋" w:cs="仿宋"/>
          <w:color w:val="auto"/>
          <w:sz w:val="24"/>
          <w:lang w:eastAsia="zh-CN"/>
        </w:rPr>
        <w:t>人民币</w:t>
      </w:r>
      <w:r>
        <w:rPr>
          <w:rFonts w:hint="eastAsia" w:ascii="仿宋" w:hAnsi="仿宋" w:eastAsia="仿宋" w:cs="仿宋"/>
          <w:color w:val="auto"/>
          <w:sz w:val="24"/>
          <w:lang w:val="en-US" w:eastAsia="zh-CN"/>
        </w:rPr>
        <w:t>1000万元</w:t>
      </w:r>
      <w:r>
        <w:rPr>
          <w:rFonts w:hint="eastAsia" w:ascii="仿宋" w:hAnsi="仿宋" w:eastAsia="仿宋" w:cs="仿宋"/>
          <w:color w:val="auto"/>
          <w:sz w:val="24"/>
          <w:lang w:eastAsia="zh-CN"/>
        </w:rPr>
        <w:t>（含</w:t>
      </w:r>
      <w:r>
        <w:rPr>
          <w:rFonts w:hint="eastAsia" w:ascii="仿宋" w:hAnsi="仿宋" w:eastAsia="仿宋" w:cs="仿宋"/>
          <w:color w:val="auto"/>
          <w:sz w:val="24"/>
          <w:lang w:val="en-US" w:eastAsia="zh-CN"/>
        </w:rPr>
        <w:t>1000万元</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w:t>
      </w:r>
    </w:p>
    <w:p w14:paraId="1FFBBC87">
      <w:pPr>
        <w:spacing w:line="400" w:lineRule="exact"/>
        <w:ind w:firstLine="240" w:firstLineChars="100"/>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w:t>
      </w:r>
      <w:r>
        <w:rPr>
          <w:rFonts w:hint="eastAsia" w:ascii="仿宋" w:hAnsi="仿宋" w:eastAsia="仿宋" w:cs="仿宋"/>
          <w:color w:val="auto"/>
          <w:sz w:val="24"/>
        </w:rPr>
        <w:t>竞投人</w:t>
      </w:r>
      <w:r>
        <w:rPr>
          <w:rFonts w:hint="eastAsia" w:ascii="仿宋" w:hAnsi="仿宋" w:eastAsia="仿宋" w:cs="仿宋"/>
          <w:color w:val="auto"/>
          <w:sz w:val="24"/>
          <w:lang w:val="en-US" w:eastAsia="zh-CN"/>
        </w:rPr>
        <w:t>2024</w:t>
      </w:r>
      <w:r>
        <w:rPr>
          <w:rFonts w:hint="eastAsia" w:ascii="仿宋" w:hAnsi="仿宋" w:eastAsia="仿宋" w:cs="仿宋"/>
          <w:color w:val="auto"/>
          <w:sz w:val="24"/>
        </w:rPr>
        <w:t>年度</w:t>
      </w:r>
      <w:r>
        <w:rPr>
          <w:rFonts w:hint="eastAsia" w:ascii="仿宋" w:hAnsi="仿宋" w:eastAsia="仿宋" w:cs="仿宋"/>
          <w:color w:val="auto"/>
          <w:sz w:val="24"/>
          <w:lang w:eastAsia="zh-CN"/>
        </w:rPr>
        <w:t>及</w:t>
      </w:r>
      <w:r>
        <w:rPr>
          <w:rFonts w:hint="eastAsia" w:ascii="仿宋" w:hAnsi="仿宋" w:eastAsia="仿宋" w:cs="仿宋"/>
          <w:color w:val="auto"/>
          <w:sz w:val="24"/>
          <w:lang w:val="en-US" w:eastAsia="zh-CN"/>
        </w:rPr>
        <w:t>2025年度</w:t>
      </w:r>
      <w:r>
        <w:rPr>
          <w:rFonts w:hint="eastAsia" w:ascii="仿宋" w:hAnsi="仿宋" w:eastAsia="仿宋" w:cs="仿宋"/>
          <w:color w:val="auto"/>
          <w:sz w:val="24"/>
        </w:rPr>
        <w:t>营业额</w:t>
      </w:r>
      <w:r>
        <w:rPr>
          <w:rFonts w:hint="eastAsia" w:ascii="仿宋" w:hAnsi="仿宋" w:eastAsia="仿宋" w:cs="仿宋"/>
          <w:color w:val="auto"/>
          <w:sz w:val="24"/>
          <w:lang w:eastAsia="zh-CN"/>
        </w:rPr>
        <w:t>均</w:t>
      </w:r>
      <w:r>
        <w:rPr>
          <w:rFonts w:hint="eastAsia" w:ascii="仿宋" w:hAnsi="仿宋" w:eastAsia="仿宋" w:cs="仿宋"/>
          <w:color w:val="auto"/>
          <w:sz w:val="24"/>
        </w:rPr>
        <w:t>不低于</w:t>
      </w:r>
      <w:r>
        <w:rPr>
          <w:rFonts w:hint="eastAsia" w:ascii="仿宋" w:hAnsi="仿宋" w:eastAsia="仿宋" w:cs="仿宋"/>
          <w:color w:val="auto"/>
          <w:sz w:val="24"/>
          <w:lang w:eastAsia="zh-CN"/>
        </w:rPr>
        <w:t>人民币</w:t>
      </w:r>
      <w:r>
        <w:rPr>
          <w:rFonts w:hint="eastAsia" w:ascii="仿宋" w:hAnsi="仿宋" w:eastAsia="仿宋" w:cs="仿宋"/>
          <w:color w:val="auto"/>
          <w:sz w:val="24"/>
          <w:lang w:val="en-US" w:eastAsia="zh-CN"/>
        </w:rPr>
        <w:t>10亿元（含10亿元）；</w:t>
      </w:r>
    </w:p>
    <w:p w14:paraId="1B57A0D5">
      <w:pPr>
        <w:spacing w:line="400" w:lineRule="exact"/>
        <w:ind w:firstLine="240" w:firstLineChars="100"/>
        <w:rPr>
          <w:rFonts w:hint="eastAsia" w:ascii="仿宋" w:hAnsi="仿宋" w:eastAsia="仿宋" w:cs="仿宋"/>
          <w:color w:val="auto"/>
          <w:sz w:val="24"/>
          <w:lang w:val="en-US" w:eastAsia="zh-CN"/>
        </w:rPr>
      </w:pPr>
      <w:r>
        <w:rPr>
          <w:rFonts w:hint="eastAsia" w:ascii="仿宋" w:hAnsi="仿宋" w:eastAsia="仿宋" w:cs="仿宋"/>
          <w:color w:val="auto"/>
          <w:sz w:val="24"/>
        </w:rPr>
        <w:t>（</w:t>
      </w:r>
      <w:r>
        <w:rPr>
          <w:rFonts w:hint="eastAsia" w:ascii="仿宋" w:hAnsi="仿宋" w:eastAsia="仿宋" w:cs="仿宋"/>
          <w:color w:val="auto"/>
          <w:sz w:val="24"/>
          <w:lang w:eastAsia="zh-CN"/>
        </w:rPr>
        <w:t>三</w:t>
      </w:r>
      <w:r>
        <w:rPr>
          <w:rFonts w:hint="eastAsia" w:ascii="仿宋" w:hAnsi="仿宋" w:eastAsia="仿宋" w:cs="仿宋"/>
          <w:color w:val="auto"/>
          <w:sz w:val="24"/>
        </w:rPr>
        <w:t>）竞投人未被纳入经营异常名录和严重违法失信企业名单。</w:t>
      </w:r>
    </w:p>
    <w:p w14:paraId="2E8D8E12">
      <w:pPr>
        <w:spacing w:line="400" w:lineRule="exact"/>
        <w:rPr>
          <w:rFonts w:ascii="仿宋" w:hAnsi="仿宋" w:eastAsia="仿宋" w:cs="仿宋"/>
          <w:b/>
          <w:sz w:val="24"/>
        </w:rPr>
      </w:pPr>
      <w:r>
        <w:rPr>
          <w:rFonts w:hint="eastAsia" w:ascii="仿宋" w:hAnsi="仿宋" w:eastAsia="仿宋" w:cs="仿宋"/>
          <w:b/>
          <w:sz w:val="24"/>
        </w:rPr>
        <w:t>三、报名、竞投网址及时间：</w:t>
      </w:r>
    </w:p>
    <w:p w14:paraId="06EE9D57">
      <w:pPr>
        <w:numPr>
          <w:ilvl w:val="0"/>
          <w:numId w:val="3"/>
        </w:numPr>
        <w:spacing w:line="400" w:lineRule="exact"/>
        <w:ind w:firstLine="240" w:firstLineChars="100"/>
        <w:rPr>
          <w:rFonts w:ascii="仿宋" w:hAnsi="仿宋" w:eastAsia="仿宋" w:cs="仿宋"/>
          <w:sz w:val="24"/>
        </w:rPr>
      </w:pPr>
      <w:r>
        <w:rPr>
          <w:rFonts w:hint="eastAsia" w:ascii="仿宋" w:hAnsi="仿宋" w:eastAsia="仿宋" w:cs="仿宋"/>
          <w:sz w:val="24"/>
        </w:rPr>
        <w:t>报名、竞投网址：广州市天河区农村集体资产管理平台http://szjy.thnet.gov.cn/或“天河农村集体资产交易”微信公众号的【网上竞投】模块</w:t>
      </w:r>
      <w:r>
        <w:rPr>
          <w:rFonts w:hint="eastAsia" w:ascii="仿宋" w:hAnsi="仿宋" w:eastAsia="仿宋" w:cs="仿宋"/>
          <w:b/>
          <w:bCs/>
          <w:sz w:val="24"/>
        </w:rPr>
        <w:t>（建议优先使用网页端）</w:t>
      </w:r>
      <w:r>
        <w:rPr>
          <w:rFonts w:hint="eastAsia" w:ascii="仿宋" w:hAnsi="仿宋" w:eastAsia="仿宋" w:cs="仿宋"/>
          <w:sz w:val="24"/>
        </w:rPr>
        <w:t>。</w:t>
      </w:r>
    </w:p>
    <w:p w14:paraId="23AFBA36">
      <w:pPr>
        <w:numPr>
          <w:ilvl w:val="0"/>
          <w:numId w:val="3"/>
        </w:numPr>
        <w:spacing w:line="400" w:lineRule="exact"/>
        <w:ind w:firstLine="241" w:firstLineChars="100"/>
        <w:rPr>
          <w:rFonts w:hint="eastAsia" w:ascii="仿宋" w:hAnsi="仿宋" w:eastAsia="仿宋" w:cs="仿宋"/>
          <w:b/>
          <w:bCs/>
          <w:color w:val="000000"/>
          <w:sz w:val="24"/>
        </w:rPr>
      </w:pPr>
      <w:r>
        <w:rPr>
          <w:rFonts w:hint="eastAsia" w:ascii="仿宋" w:hAnsi="仿宋" w:eastAsia="仿宋" w:cs="仿宋"/>
          <w:b/>
          <w:bCs/>
          <w:color w:val="000000"/>
          <w:sz w:val="24"/>
        </w:rPr>
        <w:t>交易保证金交纳时间：</w:t>
      </w:r>
    </w:p>
    <w:p w14:paraId="6E019DEE">
      <w:pPr>
        <w:spacing w:line="400" w:lineRule="exact"/>
        <w:ind w:firstLine="482" w:firstLineChars="200"/>
        <w:rPr>
          <w:rFonts w:hint="default" w:ascii="仿宋" w:hAnsi="仿宋" w:eastAsia="仿宋" w:cs="仿宋"/>
          <w:b/>
          <w:bCs/>
          <w:color w:val="000000"/>
          <w:sz w:val="24"/>
          <w:u w:val="single"/>
          <w:lang w:val="en-US"/>
        </w:rPr>
      </w:pPr>
      <w:r>
        <w:rPr>
          <w:rFonts w:hint="eastAsia" w:ascii="仿宋" w:hAnsi="仿宋" w:eastAsia="仿宋" w:cs="仿宋"/>
          <w:b/>
          <w:bCs/>
          <w:color w:val="000000"/>
          <w:sz w:val="24"/>
        </w:rPr>
        <w:t>1.银行转账方式：</w:t>
      </w:r>
      <w:r>
        <w:rPr>
          <w:rFonts w:hint="eastAsia" w:ascii="仿宋" w:hAnsi="仿宋" w:eastAsia="仿宋" w:cs="仿宋"/>
          <w:color w:val="393939"/>
          <w:sz w:val="24"/>
          <w:u w:val="single"/>
          <w:lang w:val="en-US" w:eastAsia="zh-CN"/>
        </w:rPr>
        <w:t xml:space="preserve"> </w:t>
      </w:r>
      <w:r>
        <w:rPr>
          <w:rFonts w:hint="eastAsia" w:ascii="仿宋" w:hAnsi="仿宋" w:eastAsia="仿宋" w:cs="仿宋"/>
          <w:color w:val="auto"/>
          <w:sz w:val="24"/>
          <w:u w:val="single"/>
          <w:lang w:val="en-US" w:eastAsia="zh-CN"/>
        </w:rPr>
        <w:t xml:space="preserve"> 2026-5-8 </w:t>
      </w:r>
      <w:r>
        <w:rPr>
          <w:rFonts w:hint="eastAsia" w:ascii="仿宋" w:hAnsi="仿宋" w:eastAsia="仿宋" w:cs="仿宋"/>
          <w:color w:val="auto"/>
          <w:sz w:val="24"/>
          <w:u w:val="single"/>
        </w:rPr>
        <w:t>至</w:t>
      </w:r>
      <w:r>
        <w:rPr>
          <w:rFonts w:hint="eastAsia" w:ascii="仿宋" w:hAnsi="仿宋" w:eastAsia="仿宋" w:cs="仿宋"/>
          <w:color w:val="auto"/>
          <w:sz w:val="24"/>
          <w:u w:val="single"/>
          <w:lang w:val="en-US" w:eastAsia="zh-CN"/>
        </w:rPr>
        <w:t xml:space="preserve"> 2026-5-27</w:t>
      </w:r>
      <w:bookmarkStart w:id="22" w:name="_GoBack"/>
      <w:bookmarkEnd w:id="22"/>
    </w:p>
    <w:p w14:paraId="1C7F146E">
      <w:pPr>
        <w:spacing w:line="400" w:lineRule="exact"/>
        <w:ind w:left="241" w:firstLine="241" w:firstLineChars="100"/>
        <w:rPr>
          <w:rFonts w:hint="default" w:ascii="仿宋" w:hAnsi="仿宋" w:eastAsia="仿宋" w:cs="仿宋"/>
          <w:sz w:val="24"/>
          <w:u w:val="single"/>
          <w:lang w:val="en-US"/>
        </w:rPr>
      </w:pPr>
      <w:r>
        <w:rPr>
          <w:rFonts w:hint="eastAsia" w:ascii="仿宋" w:hAnsi="仿宋" w:eastAsia="仿宋" w:cs="仿宋"/>
          <w:b/>
          <w:bCs/>
          <w:color w:val="000000"/>
          <w:sz w:val="24"/>
        </w:rPr>
        <w:t>2.银行保函方式：</w:t>
      </w:r>
      <w:r>
        <w:rPr>
          <w:rFonts w:hint="eastAsia" w:ascii="仿宋" w:hAnsi="仿宋" w:eastAsia="仿宋" w:cs="仿宋"/>
          <w:color w:val="393939"/>
          <w:sz w:val="24"/>
          <w:u w:val="single"/>
          <w:lang w:val="en-US" w:eastAsia="zh-CN"/>
        </w:rPr>
        <w:t xml:space="preserve"> </w:t>
      </w:r>
      <w:r>
        <w:rPr>
          <w:rFonts w:hint="eastAsia" w:ascii="仿宋" w:hAnsi="仿宋" w:eastAsia="仿宋" w:cs="仿宋"/>
          <w:color w:val="auto"/>
          <w:sz w:val="24"/>
          <w:u w:val="single"/>
          <w:lang w:val="en-US" w:eastAsia="zh-CN"/>
        </w:rPr>
        <w:t xml:space="preserve"> 2026-5-8 </w:t>
      </w:r>
      <w:r>
        <w:rPr>
          <w:rFonts w:hint="eastAsia" w:ascii="仿宋" w:hAnsi="仿宋" w:eastAsia="仿宋" w:cs="仿宋"/>
          <w:color w:val="auto"/>
          <w:sz w:val="24"/>
          <w:u w:val="single"/>
        </w:rPr>
        <w:t>至</w:t>
      </w:r>
      <w:r>
        <w:rPr>
          <w:rFonts w:hint="eastAsia" w:ascii="仿宋" w:hAnsi="仿宋" w:eastAsia="仿宋" w:cs="仿宋"/>
          <w:color w:val="auto"/>
          <w:sz w:val="24"/>
          <w:u w:val="single"/>
          <w:lang w:val="en-US" w:eastAsia="zh-CN"/>
        </w:rPr>
        <w:t xml:space="preserve"> 2026-5-25</w:t>
      </w:r>
    </w:p>
    <w:p w14:paraId="5B68C539">
      <w:pPr>
        <w:numPr>
          <w:ilvl w:val="0"/>
          <w:numId w:val="3"/>
        </w:numPr>
        <w:spacing w:line="400" w:lineRule="exact"/>
        <w:ind w:firstLine="240" w:firstLineChars="100"/>
        <w:rPr>
          <w:rFonts w:ascii="仿宋" w:hAnsi="仿宋" w:eastAsia="仿宋" w:cs="仿宋"/>
          <w:sz w:val="24"/>
          <w:u w:val="single"/>
        </w:rPr>
      </w:pPr>
      <w:r>
        <w:rPr>
          <w:rFonts w:hint="eastAsia" w:ascii="仿宋" w:hAnsi="仿宋" w:eastAsia="仿宋" w:cs="仿宋"/>
          <w:sz w:val="24"/>
        </w:rPr>
        <w:t>报名时间：</w:t>
      </w:r>
      <w:r>
        <w:rPr>
          <w:rFonts w:hint="eastAsia" w:ascii="仿宋" w:hAnsi="仿宋" w:eastAsia="仿宋" w:cs="仿宋"/>
          <w:color w:val="393939"/>
          <w:sz w:val="24"/>
          <w:u w:val="single"/>
          <w:lang w:val="en-US" w:eastAsia="zh-CN"/>
        </w:rPr>
        <w:t xml:space="preserve"> </w:t>
      </w:r>
      <w:r>
        <w:rPr>
          <w:rFonts w:hint="eastAsia" w:ascii="仿宋" w:hAnsi="仿宋" w:eastAsia="仿宋" w:cs="仿宋"/>
          <w:color w:val="auto"/>
          <w:sz w:val="24"/>
          <w:u w:val="single"/>
          <w:lang w:val="en-US" w:eastAsia="zh-CN"/>
        </w:rPr>
        <w:t xml:space="preserve"> 2026-5-8 </w:t>
      </w:r>
      <w:r>
        <w:rPr>
          <w:rFonts w:hint="eastAsia" w:ascii="仿宋" w:hAnsi="仿宋" w:eastAsia="仿宋" w:cs="仿宋"/>
          <w:color w:val="auto"/>
          <w:sz w:val="24"/>
          <w:u w:val="single"/>
        </w:rPr>
        <w:t>至</w:t>
      </w:r>
      <w:r>
        <w:rPr>
          <w:rFonts w:hint="eastAsia" w:ascii="仿宋" w:hAnsi="仿宋" w:eastAsia="仿宋" w:cs="仿宋"/>
          <w:color w:val="auto"/>
          <w:sz w:val="24"/>
          <w:u w:val="single"/>
          <w:lang w:val="en-US" w:eastAsia="zh-CN"/>
        </w:rPr>
        <w:t xml:space="preserve"> 2026-5-27</w:t>
      </w:r>
    </w:p>
    <w:p w14:paraId="7A4FD5FB">
      <w:pPr>
        <w:numPr>
          <w:ilvl w:val="0"/>
          <w:numId w:val="3"/>
        </w:numPr>
        <w:spacing w:line="400" w:lineRule="exact"/>
        <w:ind w:firstLine="240" w:firstLineChars="100"/>
        <w:rPr>
          <w:rFonts w:ascii="仿宋" w:hAnsi="仿宋" w:eastAsia="仿宋" w:cs="仿宋"/>
          <w:sz w:val="24"/>
          <w:u w:val="single"/>
        </w:rPr>
      </w:pPr>
      <w:r>
        <w:rPr>
          <w:rFonts w:hint="eastAsia" w:ascii="仿宋" w:hAnsi="仿宋" w:eastAsia="仿宋" w:cs="仿宋"/>
          <w:sz w:val="24"/>
        </w:rPr>
        <w:t>网上竞投开始时间：</w:t>
      </w:r>
      <w:r>
        <w:rPr>
          <w:rFonts w:hint="eastAsia" w:ascii="仿宋" w:hAnsi="仿宋" w:eastAsia="仿宋" w:cs="仿宋"/>
          <w:color w:val="393939"/>
          <w:sz w:val="24"/>
          <w:u w:val="single"/>
          <w:shd w:val="clear" w:color="auto" w:fill="FFFFFF"/>
          <w:lang w:val="en-US" w:eastAsia="zh-CN"/>
        </w:rPr>
        <w:t xml:space="preserve"> </w:t>
      </w:r>
      <w:r>
        <w:rPr>
          <w:rFonts w:hint="eastAsia" w:ascii="仿宋" w:hAnsi="仿宋" w:eastAsia="仿宋" w:cs="仿宋"/>
          <w:sz w:val="24"/>
          <w:u w:val="single"/>
          <w:lang w:val="en-US" w:eastAsia="zh-CN"/>
        </w:rPr>
        <w:t xml:space="preserve">2026-5-29 10：00 </w:t>
      </w:r>
    </w:p>
    <w:p w14:paraId="7DB91DAC">
      <w:pPr>
        <w:spacing w:line="400" w:lineRule="exact"/>
        <w:rPr>
          <w:rFonts w:ascii="仿宋_GB2312" w:hAnsi="仿宋_GB2312" w:eastAsia="仿宋_GB2312" w:cs="仿宋_GB2312"/>
          <w:b/>
          <w:bCs/>
          <w:sz w:val="24"/>
        </w:rPr>
      </w:pPr>
      <w:r>
        <w:rPr>
          <w:rFonts w:hint="eastAsia" w:ascii="仿宋_GB2312" w:hAnsi="仿宋_GB2312" w:eastAsia="仿宋_GB2312" w:cs="仿宋_GB2312"/>
          <w:b/>
          <w:bCs/>
          <w:sz w:val="24"/>
        </w:rPr>
        <w:t>四、需提交的相关资料如下：</w:t>
      </w:r>
    </w:p>
    <w:p w14:paraId="299471C8">
      <w:pPr>
        <w:numPr>
          <w:ilvl w:val="0"/>
          <w:numId w:val="4"/>
        </w:numPr>
        <w:spacing w:line="400" w:lineRule="exact"/>
        <w:ind w:firstLine="240" w:firstLineChars="100"/>
        <w:rPr>
          <w:rFonts w:ascii="仿宋" w:hAnsi="仿宋" w:eastAsia="仿宋" w:cs="仿宋"/>
          <w:bCs/>
          <w:sz w:val="24"/>
        </w:rPr>
      </w:pPr>
      <w:r>
        <w:rPr>
          <w:rFonts w:hint="eastAsia" w:ascii="仿宋" w:hAnsi="仿宋" w:eastAsia="仿宋" w:cs="仿宋"/>
          <w:bCs/>
          <w:sz w:val="24"/>
        </w:rPr>
        <w:t>法人单位须提供加盖公章的单位营业执照及法定代表人居民身份证复印件（原件备查）；</w:t>
      </w:r>
    </w:p>
    <w:p w14:paraId="6A29B233">
      <w:pPr>
        <w:spacing w:line="400" w:lineRule="exact"/>
        <w:ind w:left="210" w:leftChars="100"/>
        <w:rPr>
          <w:rFonts w:hint="eastAsia" w:ascii="仿宋" w:hAnsi="仿宋" w:eastAsia="仿宋" w:cs="仿宋"/>
          <w:bCs/>
          <w:color w:val="auto"/>
          <w:sz w:val="24"/>
        </w:rPr>
      </w:pPr>
      <w:r>
        <w:rPr>
          <w:rFonts w:hint="eastAsia" w:ascii="仿宋" w:hAnsi="仿宋" w:eastAsia="仿宋" w:cs="仿宋"/>
          <w:bCs/>
          <w:color w:val="auto"/>
          <w:sz w:val="24"/>
        </w:rPr>
        <w:t>（</w:t>
      </w:r>
      <w:r>
        <w:rPr>
          <w:rFonts w:hint="eastAsia" w:ascii="仿宋" w:hAnsi="仿宋" w:eastAsia="仿宋" w:cs="仿宋"/>
          <w:bCs/>
          <w:color w:val="auto"/>
          <w:sz w:val="24"/>
          <w:lang w:val="en-US" w:eastAsia="zh-CN"/>
        </w:rPr>
        <w:t>二</w:t>
      </w:r>
      <w:r>
        <w:rPr>
          <w:rFonts w:hint="eastAsia" w:ascii="仿宋" w:hAnsi="仿宋" w:eastAsia="仿宋" w:cs="仿宋"/>
          <w:bCs/>
          <w:color w:val="auto"/>
          <w:sz w:val="24"/>
        </w:rPr>
        <w:t>）项目业主单位要求提交的其他资料：</w:t>
      </w:r>
    </w:p>
    <w:p w14:paraId="1B1EF400">
      <w:pPr>
        <w:numPr>
          <w:ilvl w:val="0"/>
          <w:numId w:val="0"/>
        </w:numPr>
        <w:spacing w:line="400" w:lineRule="exact"/>
        <w:ind w:leftChars="100"/>
        <w:rPr>
          <w:rFonts w:hint="eastAsia" w:ascii="仿宋" w:hAnsi="仿宋" w:eastAsia="仿宋" w:cs="仿宋"/>
          <w:bCs/>
          <w:color w:val="auto"/>
          <w:sz w:val="24"/>
        </w:rPr>
      </w:pPr>
      <w:r>
        <w:rPr>
          <w:rFonts w:hint="eastAsia" w:ascii="仿宋" w:hAnsi="仿宋" w:eastAsia="仿宋" w:cs="仿宋"/>
          <w:bCs/>
          <w:color w:val="auto"/>
          <w:sz w:val="24"/>
        </w:rPr>
        <w:t>1、广东省专精特新中小企</w:t>
      </w:r>
      <w:r>
        <w:rPr>
          <w:rFonts w:hint="eastAsia" w:ascii="仿宋" w:hAnsi="仿宋" w:eastAsia="仿宋" w:cs="仿宋"/>
          <w:bCs/>
          <w:color w:val="auto"/>
          <w:sz w:val="24"/>
          <w:lang w:eastAsia="zh-CN"/>
        </w:rPr>
        <w:t>业</w:t>
      </w:r>
      <w:r>
        <w:rPr>
          <w:rFonts w:hint="eastAsia" w:ascii="仿宋" w:hAnsi="仿宋" w:eastAsia="仿宋" w:cs="仿宋"/>
          <w:color w:val="auto"/>
          <w:sz w:val="24"/>
          <w:lang w:val="en-US" w:eastAsia="zh-CN"/>
        </w:rPr>
        <w:t>或以上称号</w:t>
      </w:r>
      <w:r>
        <w:rPr>
          <w:rFonts w:hint="eastAsia" w:ascii="仿宋" w:hAnsi="仿宋" w:eastAsia="仿宋" w:cs="仿宋"/>
          <w:bCs/>
          <w:color w:val="auto"/>
          <w:sz w:val="24"/>
          <w:lang w:eastAsia="zh-CN"/>
        </w:rPr>
        <w:t>证书</w:t>
      </w:r>
      <w:r>
        <w:rPr>
          <w:rFonts w:hint="eastAsia" w:ascii="仿宋" w:hAnsi="仿宋" w:eastAsia="仿宋" w:cs="仿宋"/>
          <w:bCs/>
          <w:color w:val="auto"/>
          <w:sz w:val="24"/>
        </w:rPr>
        <w:t>;</w:t>
      </w:r>
    </w:p>
    <w:p w14:paraId="17184B3B">
      <w:pPr>
        <w:numPr>
          <w:ilvl w:val="0"/>
          <w:numId w:val="0"/>
        </w:numPr>
        <w:spacing w:line="400" w:lineRule="exact"/>
        <w:ind w:leftChars="100"/>
        <w:rPr>
          <w:rFonts w:hint="eastAsia" w:ascii="仿宋" w:hAnsi="仿宋" w:eastAsia="仿宋" w:cs="仿宋"/>
          <w:bCs/>
          <w:color w:val="auto"/>
          <w:sz w:val="24"/>
        </w:rPr>
      </w:pPr>
      <w:r>
        <w:rPr>
          <w:rFonts w:hint="eastAsia" w:ascii="仿宋" w:hAnsi="仿宋" w:eastAsia="仿宋" w:cs="仿宋"/>
          <w:bCs/>
          <w:color w:val="auto"/>
          <w:sz w:val="24"/>
        </w:rPr>
        <w:t>2、</w:t>
      </w:r>
      <w:r>
        <w:rPr>
          <w:rFonts w:hint="eastAsia" w:ascii="仿宋" w:hAnsi="仿宋" w:eastAsia="仿宋" w:cs="仿宋"/>
          <w:bCs/>
          <w:color w:val="auto"/>
          <w:sz w:val="24"/>
          <w:lang w:eastAsia="zh-CN"/>
        </w:rPr>
        <w:t>国家知识产权局颁发的专利证书</w:t>
      </w:r>
      <w:r>
        <w:rPr>
          <w:rFonts w:hint="eastAsia" w:ascii="仿宋" w:hAnsi="仿宋" w:eastAsia="仿宋" w:cs="仿宋"/>
          <w:bCs/>
          <w:color w:val="auto"/>
          <w:sz w:val="24"/>
        </w:rPr>
        <w:t>;</w:t>
      </w:r>
    </w:p>
    <w:p w14:paraId="3E1D32FB">
      <w:pPr>
        <w:numPr>
          <w:ilvl w:val="0"/>
          <w:numId w:val="0"/>
        </w:numPr>
        <w:spacing w:line="400" w:lineRule="exact"/>
        <w:ind w:leftChars="100"/>
        <w:rPr>
          <w:rFonts w:hint="eastAsia" w:ascii="仿宋" w:hAnsi="仿宋" w:eastAsia="仿宋" w:cs="仿宋"/>
          <w:bCs/>
          <w:color w:val="auto"/>
          <w:sz w:val="24"/>
        </w:rPr>
      </w:pPr>
      <w:r>
        <w:rPr>
          <w:rFonts w:hint="eastAsia" w:ascii="仿宋" w:hAnsi="仿宋" w:eastAsia="仿宋" w:cs="仿宋"/>
          <w:bCs/>
          <w:color w:val="auto"/>
          <w:sz w:val="24"/>
        </w:rPr>
        <w:t>3、</w:t>
      </w:r>
      <w:r>
        <w:rPr>
          <w:rFonts w:hint="eastAsia" w:ascii="仿宋" w:hAnsi="仿宋" w:eastAsia="仿宋" w:cs="仿宋"/>
          <w:bCs/>
          <w:color w:val="auto"/>
          <w:sz w:val="24"/>
          <w:lang w:eastAsia="zh-CN"/>
        </w:rPr>
        <w:t>企业实缴注册资本</w:t>
      </w:r>
      <w:r>
        <w:rPr>
          <w:rFonts w:hint="eastAsia" w:ascii="仿宋" w:hAnsi="仿宋" w:eastAsia="仿宋" w:cs="仿宋"/>
          <w:bCs/>
          <w:color w:val="auto"/>
          <w:sz w:val="24"/>
        </w:rPr>
        <w:t>证明</w:t>
      </w:r>
      <w:r>
        <w:rPr>
          <w:rFonts w:hint="eastAsia" w:ascii="仿宋" w:hAnsi="仿宋" w:eastAsia="仿宋" w:cs="仿宋"/>
          <w:bCs/>
          <w:color w:val="auto"/>
          <w:sz w:val="24"/>
          <w:lang w:eastAsia="zh-CN"/>
        </w:rPr>
        <w:t>材料</w:t>
      </w:r>
      <w:r>
        <w:rPr>
          <w:rFonts w:hint="eastAsia" w:ascii="仿宋" w:hAnsi="仿宋" w:eastAsia="仿宋" w:cs="仿宋"/>
          <w:bCs/>
          <w:color w:val="auto"/>
          <w:sz w:val="24"/>
        </w:rPr>
        <w:t>;</w:t>
      </w:r>
    </w:p>
    <w:p w14:paraId="38D27ECC">
      <w:pPr>
        <w:numPr>
          <w:ilvl w:val="0"/>
          <w:numId w:val="0"/>
        </w:numPr>
        <w:spacing w:line="400" w:lineRule="exact"/>
        <w:ind w:leftChars="100"/>
        <w:rPr>
          <w:rFonts w:hint="eastAsia" w:ascii="仿宋" w:hAnsi="仿宋" w:eastAsia="仿宋" w:cs="仿宋"/>
          <w:bCs/>
          <w:color w:val="auto"/>
          <w:sz w:val="24"/>
        </w:rPr>
      </w:pPr>
      <w:r>
        <w:rPr>
          <w:rFonts w:hint="eastAsia" w:ascii="仿宋" w:hAnsi="仿宋" w:eastAsia="仿宋" w:cs="仿宋"/>
          <w:bCs/>
          <w:color w:val="auto"/>
          <w:sz w:val="24"/>
          <w:lang w:val="en-US" w:eastAsia="zh-CN"/>
        </w:rPr>
        <w:t>4</w:t>
      </w:r>
      <w:r>
        <w:rPr>
          <w:rFonts w:hint="eastAsia" w:ascii="仿宋" w:hAnsi="仿宋" w:eastAsia="仿宋" w:cs="仿宋"/>
          <w:bCs/>
          <w:color w:val="auto"/>
          <w:sz w:val="24"/>
        </w:rPr>
        <w:t>、</w:t>
      </w:r>
      <w:r>
        <w:rPr>
          <w:rFonts w:hint="eastAsia" w:ascii="仿宋" w:hAnsi="仿宋" w:eastAsia="仿宋" w:cs="仿宋"/>
          <w:bCs/>
          <w:color w:val="auto"/>
          <w:sz w:val="24"/>
          <w:lang w:eastAsia="zh-CN"/>
        </w:rPr>
        <w:t>企业</w:t>
      </w:r>
      <w:r>
        <w:rPr>
          <w:rFonts w:hint="eastAsia" w:ascii="仿宋" w:hAnsi="仿宋" w:eastAsia="仿宋" w:cs="仿宋"/>
          <w:bCs/>
          <w:color w:val="auto"/>
          <w:sz w:val="24"/>
        </w:rPr>
        <w:t>202</w:t>
      </w:r>
      <w:r>
        <w:rPr>
          <w:rFonts w:hint="eastAsia" w:ascii="仿宋" w:hAnsi="仿宋" w:eastAsia="仿宋" w:cs="仿宋"/>
          <w:bCs/>
          <w:color w:val="auto"/>
          <w:sz w:val="24"/>
          <w:lang w:val="en-US" w:eastAsia="zh-CN"/>
        </w:rPr>
        <w:t>4</w:t>
      </w:r>
      <w:r>
        <w:rPr>
          <w:rFonts w:hint="eastAsia" w:ascii="仿宋" w:hAnsi="仿宋" w:eastAsia="仿宋" w:cs="仿宋"/>
          <w:bCs/>
          <w:color w:val="auto"/>
          <w:sz w:val="24"/>
        </w:rPr>
        <w:t>年度及202</w:t>
      </w:r>
      <w:r>
        <w:rPr>
          <w:rFonts w:hint="eastAsia" w:ascii="仿宋" w:hAnsi="仿宋" w:eastAsia="仿宋" w:cs="仿宋"/>
          <w:bCs/>
          <w:color w:val="auto"/>
          <w:sz w:val="24"/>
          <w:lang w:val="en-US" w:eastAsia="zh-CN"/>
        </w:rPr>
        <w:t>5</w:t>
      </w:r>
      <w:r>
        <w:rPr>
          <w:rFonts w:hint="eastAsia" w:ascii="仿宋" w:hAnsi="仿宋" w:eastAsia="仿宋" w:cs="仿宋"/>
          <w:bCs/>
          <w:color w:val="auto"/>
          <w:sz w:val="24"/>
        </w:rPr>
        <w:t>年度营业额均不低于</w:t>
      </w:r>
      <w:r>
        <w:rPr>
          <w:rFonts w:hint="eastAsia" w:ascii="仿宋" w:hAnsi="仿宋" w:eastAsia="仿宋" w:cs="仿宋"/>
          <w:bCs/>
          <w:color w:val="auto"/>
          <w:sz w:val="24"/>
          <w:lang w:eastAsia="zh-CN"/>
        </w:rPr>
        <w:t>人民币</w:t>
      </w:r>
      <w:r>
        <w:rPr>
          <w:rFonts w:hint="eastAsia" w:ascii="仿宋" w:hAnsi="仿宋" w:eastAsia="仿宋" w:cs="仿宋"/>
          <w:bCs/>
          <w:color w:val="auto"/>
          <w:sz w:val="24"/>
        </w:rPr>
        <w:t>10亿元(含10亿元)</w:t>
      </w:r>
      <w:r>
        <w:rPr>
          <w:rFonts w:hint="eastAsia" w:ascii="仿宋" w:hAnsi="仿宋" w:eastAsia="仿宋" w:cs="仿宋"/>
          <w:bCs/>
          <w:color w:val="auto"/>
          <w:sz w:val="24"/>
          <w:lang w:eastAsia="zh-CN"/>
        </w:rPr>
        <w:t>的</w:t>
      </w:r>
      <w:r>
        <w:rPr>
          <w:rFonts w:hint="eastAsia" w:ascii="仿宋" w:hAnsi="仿宋" w:eastAsia="仿宋" w:cs="仿宋"/>
          <w:bCs/>
          <w:color w:val="auto"/>
          <w:sz w:val="24"/>
        </w:rPr>
        <w:t>证明；</w:t>
      </w:r>
    </w:p>
    <w:p w14:paraId="71C5051F">
      <w:pPr>
        <w:numPr>
          <w:ilvl w:val="0"/>
          <w:numId w:val="0"/>
        </w:numPr>
        <w:spacing w:line="400" w:lineRule="exact"/>
        <w:ind w:leftChars="100"/>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5、信用中国出具的未被纳入经营异常名录和严重违法失信企业名单的信用信息报告。</w:t>
      </w:r>
    </w:p>
    <w:p w14:paraId="4D38ADE7">
      <w:pPr>
        <w:spacing w:line="400" w:lineRule="exact"/>
        <w:rPr>
          <w:rFonts w:ascii="仿宋" w:hAnsi="仿宋" w:eastAsia="仿宋" w:cs="仿宋"/>
          <w:b/>
          <w:sz w:val="24"/>
        </w:rPr>
      </w:pPr>
      <w:r>
        <w:rPr>
          <w:rFonts w:hint="eastAsia" w:ascii="仿宋" w:hAnsi="仿宋" w:eastAsia="仿宋" w:cs="仿宋"/>
          <w:b/>
          <w:sz w:val="24"/>
        </w:rPr>
        <w:t>五、交易文件质疑：</w:t>
      </w:r>
    </w:p>
    <w:p w14:paraId="20960E35">
      <w:pPr>
        <w:spacing w:line="400" w:lineRule="exact"/>
        <w:ind w:firstLine="480" w:firstLineChars="200"/>
        <w:rPr>
          <w:rFonts w:ascii="仿宋" w:hAnsi="仿宋" w:eastAsia="仿宋" w:cs="仿宋"/>
          <w:b/>
          <w:sz w:val="24"/>
        </w:rPr>
      </w:pPr>
      <w:r>
        <w:rPr>
          <w:rFonts w:hint="eastAsia" w:ascii="仿宋" w:hAnsi="仿宋" w:eastAsia="仿宋" w:cs="仿宋"/>
          <w:bCs/>
          <w:sz w:val="24"/>
        </w:rPr>
        <w:t>竞投人认为交易文件的内容损害其权益的，可以在公告期内以书面形式向区农业农村局、街道办事处或纪检监察部门提出质疑。竞投人逾期质疑，或以电话、传真、电邮等其他形式提交的质疑均属于无效质疑。</w:t>
      </w:r>
    </w:p>
    <w:p w14:paraId="600CFB76">
      <w:pPr>
        <w:spacing w:line="400" w:lineRule="exact"/>
        <w:rPr>
          <w:rFonts w:ascii="仿宋" w:hAnsi="仿宋" w:eastAsia="仿宋" w:cs="仿宋"/>
          <w:b/>
          <w:sz w:val="24"/>
        </w:rPr>
      </w:pPr>
      <w:r>
        <w:rPr>
          <w:rFonts w:hint="eastAsia" w:ascii="仿宋" w:hAnsi="仿宋" w:eastAsia="仿宋" w:cs="仿宋"/>
          <w:b/>
          <w:sz w:val="24"/>
        </w:rPr>
        <w:t>六、注意事项：</w:t>
      </w:r>
    </w:p>
    <w:p w14:paraId="4070F776">
      <w:pPr>
        <w:spacing w:line="400" w:lineRule="exact"/>
        <w:ind w:firstLine="240" w:firstLineChars="100"/>
        <w:rPr>
          <w:rFonts w:ascii="仿宋" w:hAnsi="仿宋" w:eastAsia="仿宋" w:cs="仿宋"/>
          <w:sz w:val="24"/>
        </w:rPr>
      </w:pPr>
      <w:r>
        <w:rPr>
          <w:rFonts w:hint="eastAsia" w:ascii="仿宋" w:hAnsi="仿宋" w:eastAsia="仿宋" w:cs="仿宋"/>
          <w:sz w:val="24"/>
        </w:rPr>
        <w:t>（一）本次交易公告等相关信息在广州市天河区农村集体资产管理平台、天河区信息网等信息平台上公布，并视为有效送达，不再另行通知。</w:t>
      </w:r>
    </w:p>
    <w:p w14:paraId="20D823AC">
      <w:pPr>
        <w:spacing w:line="400" w:lineRule="exact"/>
        <w:ind w:right="26" w:firstLine="240" w:firstLineChars="100"/>
        <w:rPr>
          <w:rFonts w:ascii="仿宋" w:hAnsi="仿宋" w:eastAsia="仿宋" w:cs="仿宋"/>
          <w:sz w:val="24"/>
          <w:u w:val="single"/>
        </w:rPr>
      </w:pPr>
      <w:r>
        <w:rPr>
          <w:rFonts w:hint="eastAsia" w:ascii="仿宋" w:hAnsi="仿宋" w:eastAsia="仿宋" w:cs="仿宋"/>
          <w:sz w:val="24"/>
        </w:rPr>
        <w:t>（二）本次交易不举行集中答疑会，如有关于交易流程的疑问请以书面、传真或电邮形式至</w:t>
      </w:r>
      <w:r>
        <w:rPr>
          <w:rFonts w:hint="eastAsia" w:ascii="仿宋" w:hAnsi="仿宋" w:eastAsia="仿宋" w:cs="仿宋"/>
          <w:bCs/>
          <w:sz w:val="24"/>
        </w:rPr>
        <w:t>广州市天河区农村集体资产交易中心</w:t>
      </w:r>
      <w:r>
        <w:rPr>
          <w:rFonts w:hint="eastAsia" w:ascii="仿宋" w:hAnsi="仿宋" w:eastAsia="仿宋" w:cs="仿宋"/>
          <w:sz w:val="24"/>
        </w:rPr>
        <w:t>释疑。</w:t>
      </w:r>
    </w:p>
    <w:p w14:paraId="257B5036">
      <w:pPr>
        <w:spacing w:line="400" w:lineRule="exact"/>
        <w:ind w:firstLine="240" w:firstLineChars="100"/>
        <w:rPr>
          <w:rFonts w:ascii="仿宋" w:hAnsi="仿宋" w:eastAsia="仿宋" w:cs="仿宋"/>
          <w:sz w:val="24"/>
        </w:rPr>
      </w:pPr>
      <w:r>
        <w:rPr>
          <w:rFonts w:hint="eastAsia" w:ascii="仿宋" w:hAnsi="仿宋" w:eastAsia="仿宋" w:cs="仿宋"/>
          <w:sz w:val="24"/>
        </w:rPr>
        <w:t>（三）本次交易不组织实地勘察，项目标的以实物为准，本交易文件提供的本项目的说明及资料仅供竞投人参考，不构成对项目的任何担保，竞投意向人在报名前须认真研究、实地查看，并向项目业主单位了解项目的实际情况，独立做出竞投判断，一经报名，视为竞投人已完全了解项目的全部内容，并认可项目标的的现状，同时愿承担参加竞投所产生的一切风险及责任，交易双方若产生任何纠纷及损失，广州市天河区农村集体资产交易中心不承担任何责任。</w:t>
      </w:r>
    </w:p>
    <w:p w14:paraId="0DE09651">
      <w:pPr>
        <w:spacing w:line="400" w:lineRule="exact"/>
        <w:ind w:firstLine="240" w:firstLineChars="100"/>
        <w:rPr>
          <w:rFonts w:ascii="仿宋" w:hAnsi="仿宋" w:eastAsia="仿宋" w:cs="仿宋"/>
          <w:sz w:val="24"/>
        </w:rPr>
      </w:pPr>
      <w:r>
        <w:rPr>
          <w:rFonts w:hint="eastAsia" w:ascii="仿宋" w:hAnsi="仿宋" w:eastAsia="仿宋" w:cs="仿宋"/>
          <w:sz w:val="24"/>
        </w:rPr>
        <w:t>（四）广州市天河区农村集体资产交易中心不对交易的农村集体资产的质量瑕疵、权属合法性瑕疵及合同违约等风险承担法律责任。</w:t>
      </w:r>
    </w:p>
    <w:p w14:paraId="2D08BD42">
      <w:pPr>
        <w:spacing w:line="400" w:lineRule="exact"/>
        <w:ind w:firstLine="240" w:firstLineChars="100"/>
        <w:rPr>
          <w:rFonts w:ascii="仿宋" w:hAnsi="仿宋" w:eastAsia="仿宋" w:cs="仿宋"/>
          <w:b/>
          <w:sz w:val="24"/>
        </w:rPr>
      </w:pPr>
      <w:r>
        <w:rPr>
          <w:rFonts w:hint="eastAsia" w:ascii="仿宋" w:hAnsi="仿宋" w:eastAsia="仿宋" w:cs="仿宋"/>
          <w:sz w:val="24"/>
        </w:rPr>
        <w:t>（五）本次交易只负责决定受让人或合作伙伴，项目交付、产权和股权交割按国家相关法规办理，不属本次交易内容，广州市天河区农村集体资产交易中心不承担任何责任。</w:t>
      </w:r>
    </w:p>
    <w:p w14:paraId="723BCAEC">
      <w:pPr>
        <w:keepNext w:val="0"/>
        <w:keepLines w:val="0"/>
        <w:pageBreakBefore w:val="0"/>
        <w:widowControl w:val="0"/>
        <w:kinsoku/>
        <w:wordWrap/>
        <w:overflowPunct/>
        <w:topLinePunct w:val="0"/>
        <w:autoSpaceDE/>
        <w:autoSpaceDN/>
        <w:bidi w:val="0"/>
        <w:adjustRightInd/>
        <w:snapToGrid/>
        <w:spacing w:line="400" w:lineRule="exact"/>
        <w:ind w:firstLine="241" w:firstLineChars="100"/>
        <w:textAlignment w:val="auto"/>
        <w:rPr>
          <w:rFonts w:ascii="仿宋" w:hAnsi="仿宋" w:eastAsia="仿宋" w:cs="仿宋"/>
          <w:b/>
          <w:sz w:val="24"/>
        </w:rPr>
      </w:pPr>
      <w:r>
        <w:rPr>
          <w:rFonts w:hint="eastAsia" w:ascii="仿宋" w:hAnsi="仿宋" w:eastAsia="仿宋" w:cs="仿宋"/>
          <w:b/>
          <w:sz w:val="24"/>
        </w:rPr>
        <w:t>七、联系方式：</w:t>
      </w:r>
    </w:p>
    <w:p w14:paraId="56066DD4">
      <w:pPr>
        <w:keepNext w:val="0"/>
        <w:keepLines w:val="0"/>
        <w:pageBreakBefore w:val="0"/>
        <w:widowControl w:val="0"/>
        <w:kinsoku/>
        <w:wordWrap/>
        <w:overflowPunct/>
        <w:topLinePunct w:val="0"/>
        <w:autoSpaceDE/>
        <w:autoSpaceDN/>
        <w:bidi w:val="0"/>
        <w:adjustRightInd/>
        <w:snapToGrid/>
        <w:spacing w:line="400" w:lineRule="exact"/>
        <w:ind w:firstLine="240" w:firstLineChars="100"/>
        <w:textAlignment w:val="auto"/>
        <w:rPr>
          <w:rFonts w:hint="eastAsia" w:ascii="仿宋" w:hAnsi="仿宋" w:eastAsia="仿宋" w:cs="仿宋"/>
          <w:sz w:val="24"/>
          <w:lang w:eastAsia="zh-CN"/>
        </w:rPr>
      </w:pPr>
      <w:r>
        <w:rPr>
          <w:rFonts w:hint="eastAsia" w:ascii="仿宋" w:hAnsi="仿宋" w:eastAsia="仿宋" w:cs="仿宋"/>
          <w:sz w:val="24"/>
        </w:rPr>
        <w:t>（一）编制单位名称：</w:t>
      </w:r>
      <w:r>
        <w:rPr>
          <w:rFonts w:hint="eastAsia" w:ascii="仿宋" w:hAnsi="仿宋" w:eastAsia="仿宋" w:cs="仿宋"/>
          <w:sz w:val="24"/>
          <w:u w:val="single"/>
        </w:rPr>
        <w:t>广州市前进</w:t>
      </w:r>
      <w:r>
        <w:rPr>
          <w:rFonts w:hint="eastAsia" w:ascii="仿宋" w:hAnsi="仿宋" w:eastAsia="仿宋" w:cs="仿宋"/>
          <w:sz w:val="24"/>
          <w:u w:val="single"/>
          <w:lang w:eastAsia="zh-CN"/>
        </w:rPr>
        <w:t>置业发展有限公司</w:t>
      </w:r>
    </w:p>
    <w:p w14:paraId="66688474">
      <w:pPr>
        <w:keepNext w:val="0"/>
        <w:keepLines w:val="0"/>
        <w:pageBreakBefore w:val="0"/>
        <w:widowControl w:val="0"/>
        <w:kinsoku/>
        <w:wordWrap/>
        <w:overflowPunct/>
        <w:topLinePunct w:val="0"/>
        <w:autoSpaceDE/>
        <w:autoSpaceDN/>
        <w:bidi w:val="0"/>
        <w:adjustRightInd/>
        <w:snapToGrid/>
        <w:spacing w:before="100" w:line="400" w:lineRule="exact"/>
        <w:ind w:firstLine="960" w:firstLineChars="400"/>
        <w:textAlignment w:val="auto"/>
        <w:rPr>
          <w:rFonts w:ascii="仿宋" w:hAnsi="仿宋" w:eastAsia="仿宋" w:cs="仿宋"/>
          <w:sz w:val="24"/>
          <w:u w:val="single"/>
        </w:rPr>
      </w:pPr>
      <w:r>
        <w:rPr>
          <w:rFonts w:hint="eastAsia" w:ascii="仿宋" w:hAnsi="仿宋" w:eastAsia="仿宋" w:cs="仿宋"/>
          <w:sz w:val="24"/>
        </w:rPr>
        <w:t>编制单位地址：</w:t>
      </w:r>
      <w:r>
        <w:rPr>
          <w:rFonts w:hint="eastAsia" w:ascii="仿宋" w:hAnsi="仿宋" w:eastAsia="仿宋" w:cs="仿宋"/>
          <w:sz w:val="24"/>
          <w:u w:val="single"/>
        </w:rPr>
        <w:t>广州市天河区</w:t>
      </w:r>
      <w:r>
        <w:rPr>
          <w:rFonts w:hint="eastAsia" w:ascii="仿宋" w:hAnsi="仿宋" w:eastAsia="仿宋" w:cs="仿宋"/>
          <w:sz w:val="24"/>
          <w:u w:val="single"/>
          <w:lang w:eastAsia="zh-CN"/>
        </w:rPr>
        <w:t>桃园中路</w:t>
      </w:r>
      <w:r>
        <w:rPr>
          <w:rFonts w:hint="eastAsia" w:ascii="仿宋" w:hAnsi="仿宋" w:eastAsia="仿宋" w:cs="仿宋"/>
          <w:sz w:val="24"/>
          <w:u w:val="single"/>
          <w:lang w:val="en-US" w:eastAsia="zh-CN"/>
        </w:rPr>
        <w:t>3号</w:t>
      </w:r>
    </w:p>
    <w:p w14:paraId="6F9AB0A0">
      <w:pPr>
        <w:keepNext w:val="0"/>
        <w:keepLines w:val="0"/>
        <w:pageBreakBefore w:val="0"/>
        <w:widowControl w:val="0"/>
        <w:tabs>
          <w:tab w:val="left" w:pos="9356"/>
        </w:tabs>
        <w:kinsoku/>
        <w:wordWrap/>
        <w:overflowPunct/>
        <w:topLinePunct w:val="0"/>
        <w:autoSpaceDE/>
        <w:autoSpaceDN/>
        <w:bidi w:val="0"/>
        <w:adjustRightInd/>
        <w:snapToGrid/>
        <w:spacing w:before="100" w:line="400" w:lineRule="exact"/>
        <w:ind w:firstLine="960" w:firstLineChars="400"/>
        <w:textAlignment w:val="auto"/>
        <w:rPr>
          <w:rFonts w:hint="default" w:ascii="仿宋" w:hAnsi="仿宋" w:eastAsia="仿宋" w:cs="仿宋"/>
          <w:sz w:val="24"/>
          <w:u w:val="single"/>
          <w:lang w:val="en-US" w:eastAsia="zh-CN"/>
        </w:rPr>
      </w:pPr>
      <w:r>
        <w:rPr>
          <w:rFonts w:hint="eastAsia" w:ascii="仿宋" w:hAnsi="仿宋" w:eastAsia="仿宋" w:cs="仿宋"/>
          <w:sz w:val="24"/>
        </w:rPr>
        <w:t>编制单位联系人：</w:t>
      </w:r>
      <w:r>
        <w:rPr>
          <w:rFonts w:hint="eastAsia" w:ascii="仿宋" w:hAnsi="仿宋" w:eastAsia="仿宋" w:cs="仿宋"/>
          <w:sz w:val="24"/>
          <w:lang w:eastAsia="zh-CN"/>
        </w:rPr>
        <w:t>刘明森</w:t>
      </w:r>
    </w:p>
    <w:p w14:paraId="3D097ABE">
      <w:pPr>
        <w:keepNext w:val="0"/>
        <w:keepLines w:val="0"/>
        <w:pageBreakBefore w:val="0"/>
        <w:widowControl w:val="0"/>
        <w:kinsoku/>
        <w:wordWrap/>
        <w:overflowPunct/>
        <w:topLinePunct w:val="0"/>
        <w:autoSpaceDE/>
        <w:autoSpaceDN/>
        <w:bidi w:val="0"/>
        <w:adjustRightInd/>
        <w:snapToGrid/>
        <w:spacing w:before="100" w:line="400" w:lineRule="exact"/>
        <w:ind w:firstLine="960" w:firstLineChars="400"/>
        <w:textAlignment w:val="auto"/>
        <w:rPr>
          <w:rFonts w:hint="default" w:ascii="仿宋" w:hAnsi="仿宋" w:eastAsia="仿宋" w:cs="仿宋"/>
          <w:sz w:val="24"/>
          <w:u w:val="single"/>
          <w:lang w:val="en-US"/>
        </w:rPr>
      </w:pPr>
      <w:r>
        <w:rPr>
          <w:rFonts w:hint="eastAsia" w:ascii="仿宋" w:hAnsi="仿宋" w:eastAsia="仿宋" w:cs="仿宋"/>
          <w:sz w:val="24"/>
        </w:rPr>
        <w:t>编制单位联系电话：</w:t>
      </w:r>
      <w:r>
        <w:rPr>
          <w:rFonts w:hint="eastAsia" w:ascii="仿宋" w:hAnsi="仿宋" w:eastAsia="仿宋" w:cs="仿宋"/>
          <w:sz w:val="24"/>
          <w:u w:val="single"/>
        </w:rPr>
        <w:t>020-</w:t>
      </w:r>
      <w:r>
        <w:rPr>
          <w:rFonts w:hint="eastAsia" w:ascii="仿宋" w:hAnsi="仿宋" w:eastAsia="仿宋" w:cs="仿宋"/>
          <w:sz w:val="24"/>
          <w:u w:val="single"/>
          <w:lang w:val="en-US" w:eastAsia="zh-CN"/>
        </w:rPr>
        <w:t>82564772</w:t>
      </w:r>
    </w:p>
    <w:p w14:paraId="6994EE1C">
      <w:pPr>
        <w:keepNext w:val="0"/>
        <w:keepLines w:val="0"/>
        <w:pageBreakBefore w:val="0"/>
        <w:widowControl w:val="0"/>
        <w:kinsoku/>
        <w:wordWrap/>
        <w:overflowPunct/>
        <w:topLinePunct w:val="0"/>
        <w:autoSpaceDE/>
        <w:autoSpaceDN/>
        <w:bidi w:val="0"/>
        <w:adjustRightInd/>
        <w:snapToGrid/>
        <w:spacing w:before="100" w:line="400" w:lineRule="exact"/>
        <w:ind w:firstLine="960" w:firstLineChars="400"/>
        <w:textAlignment w:val="auto"/>
        <w:rPr>
          <w:rFonts w:hint="eastAsia" w:ascii="仿宋" w:hAnsi="仿宋" w:eastAsia="仿宋" w:cs="仿宋"/>
          <w:sz w:val="24"/>
          <w:u w:val="single"/>
        </w:rPr>
      </w:pPr>
    </w:p>
    <w:p w14:paraId="6886E5D4">
      <w:pPr>
        <w:keepNext w:val="0"/>
        <w:keepLines w:val="0"/>
        <w:pageBreakBefore w:val="0"/>
        <w:widowControl w:val="0"/>
        <w:kinsoku/>
        <w:wordWrap/>
        <w:overflowPunct/>
        <w:topLinePunct w:val="0"/>
        <w:autoSpaceDE/>
        <w:autoSpaceDN/>
        <w:bidi w:val="0"/>
        <w:adjustRightInd/>
        <w:snapToGrid/>
        <w:spacing w:line="400" w:lineRule="exact"/>
        <w:ind w:firstLine="240" w:firstLineChars="100"/>
        <w:textAlignment w:val="auto"/>
        <w:rPr>
          <w:rFonts w:ascii="仿宋" w:hAnsi="仿宋" w:eastAsia="仿宋" w:cs="仿宋"/>
          <w:sz w:val="24"/>
        </w:rPr>
      </w:pPr>
      <w:r>
        <w:rPr>
          <w:rFonts w:hint="eastAsia" w:ascii="仿宋" w:hAnsi="仿宋" w:eastAsia="仿宋" w:cs="仿宋"/>
          <w:sz w:val="24"/>
        </w:rPr>
        <w:t>（二）交易服务机构名称：</w:t>
      </w:r>
      <w:r>
        <w:rPr>
          <w:rFonts w:hint="eastAsia" w:ascii="仿宋" w:hAnsi="仿宋" w:eastAsia="仿宋" w:cs="仿宋"/>
          <w:sz w:val="24"/>
          <w:u w:val="single"/>
        </w:rPr>
        <w:t>广州市天河区农村集体资产交易中心</w:t>
      </w:r>
    </w:p>
    <w:p w14:paraId="70200237">
      <w:pPr>
        <w:keepNext w:val="0"/>
        <w:keepLines w:val="0"/>
        <w:pageBreakBefore w:val="0"/>
        <w:widowControl w:val="0"/>
        <w:kinsoku/>
        <w:wordWrap/>
        <w:overflowPunct/>
        <w:topLinePunct w:val="0"/>
        <w:autoSpaceDE/>
        <w:autoSpaceDN/>
        <w:bidi w:val="0"/>
        <w:adjustRightInd/>
        <w:snapToGrid/>
        <w:spacing w:before="100" w:line="400" w:lineRule="exact"/>
        <w:ind w:firstLine="960" w:firstLineChars="400"/>
        <w:textAlignment w:val="auto"/>
        <w:rPr>
          <w:rFonts w:ascii="仿宋" w:hAnsi="仿宋" w:eastAsia="仿宋" w:cs="仿宋"/>
          <w:sz w:val="24"/>
        </w:rPr>
      </w:pPr>
      <w:r>
        <w:rPr>
          <w:rFonts w:hint="eastAsia" w:ascii="仿宋" w:hAnsi="仿宋" w:eastAsia="仿宋" w:cs="仿宋"/>
          <w:sz w:val="24"/>
        </w:rPr>
        <w:t>交易服务机构地址：</w:t>
      </w:r>
      <w:r>
        <w:rPr>
          <w:rFonts w:hint="eastAsia" w:ascii="仿宋" w:hAnsi="仿宋" w:eastAsia="仿宋" w:cs="仿宋"/>
          <w:sz w:val="24"/>
          <w:u w:val="single"/>
        </w:rPr>
        <w:t>天河区政务服务中心6楼（天河区软件路13号）</w:t>
      </w:r>
    </w:p>
    <w:p w14:paraId="51CB2B18">
      <w:pPr>
        <w:keepNext w:val="0"/>
        <w:keepLines w:val="0"/>
        <w:pageBreakBefore w:val="0"/>
        <w:widowControl w:val="0"/>
        <w:kinsoku/>
        <w:wordWrap/>
        <w:overflowPunct/>
        <w:topLinePunct w:val="0"/>
        <w:autoSpaceDE/>
        <w:autoSpaceDN/>
        <w:bidi w:val="0"/>
        <w:adjustRightInd/>
        <w:snapToGrid/>
        <w:spacing w:before="100" w:line="400" w:lineRule="exact"/>
        <w:ind w:firstLine="960" w:firstLineChars="400"/>
        <w:textAlignment w:val="auto"/>
        <w:rPr>
          <w:rFonts w:ascii="仿宋" w:hAnsi="仿宋" w:eastAsia="仿宋" w:cs="仿宋"/>
          <w:sz w:val="24"/>
        </w:rPr>
      </w:pPr>
      <w:r>
        <w:rPr>
          <w:rFonts w:hint="eastAsia" w:ascii="仿宋" w:hAnsi="仿宋" w:eastAsia="仿宋" w:cs="仿宋"/>
          <w:sz w:val="24"/>
        </w:rPr>
        <w:t>交易服务机构联系部门：</w:t>
      </w:r>
      <w:r>
        <w:rPr>
          <w:rFonts w:hint="eastAsia" w:ascii="仿宋" w:hAnsi="仿宋" w:eastAsia="仿宋" w:cs="仿宋"/>
          <w:sz w:val="24"/>
          <w:u w:val="single"/>
        </w:rPr>
        <w:t>交易部</w:t>
      </w:r>
    </w:p>
    <w:p w14:paraId="1BB41338">
      <w:pPr>
        <w:keepNext w:val="0"/>
        <w:keepLines w:val="0"/>
        <w:pageBreakBefore w:val="0"/>
        <w:widowControl w:val="0"/>
        <w:kinsoku/>
        <w:wordWrap/>
        <w:overflowPunct/>
        <w:topLinePunct w:val="0"/>
        <w:autoSpaceDE/>
        <w:autoSpaceDN/>
        <w:bidi w:val="0"/>
        <w:adjustRightInd/>
        <w:snapToGrid/>
        <w:spacing w:before="100" w:line="400" w:lineRule="exact"/>
        <w:ind w:firstLine="960" w:firstLineChars="400"/>
        <w:textAlignment w:val="auto"/>
        <w:rPr>
          <w:rFonts w:ascii="仿宋" w:hAnsi="仿宋" w:eastAsia="仿宋" w:cs="仿宋"/>
          <w:sz w:val="24"/>
          <w:u w:val="single"/>
        </w:rPr>
      </w:pPr>
      <w:r>
        <w:rPr>
          <w:rFonts w:hint="eastAsia" w:ascii="仿宋" w:hAnsi="仿宋" w:eastAsia="仿宋" w:cs="仿宋"/>
          <w:sz w:val="24"/>
        </w:rPr>
        <w:t>交易服务机构联系电话：</w:t>
      </w:r>
      <w:r>
        <w:rPr>
          <w:rFonts w:hint="eastAsia" w:ascii="仿宋" w:hAnsi="仿宋" w:eastAsia="仿宋" w:cs="仿宋"/>
          <w:sz w:val="24"/>
          <w:u w:val="single"/>
        </w:rPr>
        <w:t>020-37690255</w:t>
      </w:r>
    </w:p>
    <w:p w14:paraId="465DE30B">
      <w:pPr>
        <w:keepNext w:val="0"/>
        <w:keepLines w:val="0"/>
        <w:pageBreakBefore w:val="0"/>
        <w:widowControl w:val="0"/>
        <w:kinsoku/>
        <w:wordWrap/>
        <w:overflowPunct/>
        <w:topLinePunct w:val="0"/>
        <w:autoSpaceDE/>
        <w:autoSpaceDN/>
        <w:bidi w:val="0"/>
        <w:adjustRightInd/>
        <w:snapToGrid/>
        <w:spacing w:before="100" w:line="400" w:lineRule="exact"/>
        <w:ind w:firstLine="960" w:firstLineChars="400"/>
        <w:textAlignment w:val="auto"/>
        <w:rPr>
          <w:rFonts w:ascii="仿宋" w:hAnsi="仿宋" w:eastAsia="仿宋" w:cs="仿宋"/>
          <w:sz w:val="24"/>
          <w:u w:val="single"/>
        </w:rPr>
      </w:pPr>
      <w:r>
        <w:rPr>
          <w:rFonts w:hint="eastAsia" w:ascii="仿宋" w:hAnsi="仿宋" w:eastAsia="仿宋" w:cs="仿宋"/>
          <w:sz w:val="24"/>
        </w:rPr>
        <w:t>资料提交地址：</w:t>
      </w:r>
      <w:r>
        <w:rPr>
          <w:rFonts w:hint="eastAsia" w:ascii="仿宋" w:hAnsi="仿宋" w:eastAsia="仿宋" w:cs="仿宋"/>
          <w:sz w:val="24"/>
          <w:u w:val="single"/>
        </w:rPr>
        <w:t>天河区政务服务中心6楼606办公室</w:t>
      </w:r>
    </w:p>
    <w:p w14:paraId="284381C3">
      <w:pPr>
        <w:keepNext w:val="0"/>
        <w:keepLines w:val="0"/>
        <w:pageBreakBefore w:val="0"/>
        <w:widowControl w:val="0"/>
        <w:kinsoku/>
        <w:wordWrap/>
        <w:overflowPunct/>
        <w:topLinePunct w:val="0"/>
        <w:autoSpaceDE/>
        <w:autoSpaceDN/>
        <w:bidi w:val="0"/>
        <w:adjustRightInd/>
        <w:snapToGrid/>
        <w:spacing w:before="100" w:line="400" w:lineRule="exact"/>
        <w:ind w:firstLine="1250" w:firstLineChars="521"/>
        <w:textAlignment w:val="auto"/>
        <w:rPr>
          <w:rFonts w:ascii="仿宋" w:hAnsi="仿宋" w:eastAsia="仿宋" w:cs="仿宋"/>
          <w:sz w:val="24"/>
          <w:u w:val="single"/>
        </w:rPr>
      </w:pPr>
    </w:p>
    <w:p w14:paraId="7CC44D68">
      <w:pPr>
        <w:spacing w:before="100" w:line="400" w:lineRule="exact"/>
        <w:ind w:firstLine="1250" w:firstLineChars="521"/>
        <w:rPr>
          <w:rFonts w:ascii="仿宋" w:hAnsi="仿宋" w:eastAsia="仿宋" w:cs="仿宋"/>
          <w:sz w:val="24"/>
          <w:u w:val="single"/>
        </w:rPr>
      </w:pPr>
    </w:p>
    <w:p w14:paraId="7CF602BF">
      <w:pPr>
        <w:spacing w:line="400" w:lineRule="exact"/>
        <w:ind w:right="420" w:rightChars="200"/>
        <w:jc w:val="center"/>
        <w:rPr>
          <w:rFonts w:ascii="仿宋" w:hAnsi="仿宋" w:eastAsia="仿宋" w:cs="仿宋"/>
          <w:sz w:val="24"/>
        </w:rPr>
      </w:pPr>
      <w:r>
        <w:rPr>
          <w:rFonts w:hint="eastAsia" w:ascii="仿宋" w:hAnsi="仿宋" w:eastAsia="仿宋" w:cs="仿宋"/>
          <w:sz w:val="24"/>
        </w:rPr>
        <w:t xml:space="preserve">                            交易服务机构：</w:t>
      </w:r>
      <w:bookmarkStart w:id="0" w:name="_Toc391912291"/>
      <w:bookmarkStart w:id="1" w:name="_Toc391912314"/>
      <w:bookmarkStart w:id="2" w:name="_Toc263670110"/>
      <w:r>
        <w:rPr>
          <w:rFonts w:hint="eastAsia" w:ascii="仿宋" w:hAnsi="仿宋" w:eastAsia="仿宋" w:cs="仿宋"/>
          <w:sz w:val="24"/>
          <w:u w:val="single"/>
        </w:rPr>
        <w:t>广州市天河区农村集体资产交易中心</w:t>
      </w:r>
    </w:p>
    <w:p w14:paraId="043DAC13">
      <w:pPr>
        <w:rPr>
          <w:rFonts w:ascii="仿宋" w:hAnsi="仿宋" w:eastAsia="仿宋" w:cs="仿宋"/>
          <w:b/>
          <w:bCs/>
          <w:sz w:val="24"/>
        </w:rPr>
      </w:pPr>
      <w:r>
        <w:rPr>
          <w:rFonts w:ascii="仿宋" w:hAnsi="仿宋" w:eastAsia="仿宋" w:cs="仿宋"/>
          <w:b/>
          <w:bCs/>
          <w:sz w:val="24"/>
        </w:rPr>
        <w:br w:type="page"/>
      </w:r>
    </w:p>
    <w:p w14:paraId="041998F3">
      <w:pPr>
        <w:pStyle w:val="122"/>
        <w:keepNext w:val="0"/>
        <w:spacing w:line="400" w:lineRule="exact"/>
        <w:rPr>
          <w:rFonts w:hint="eastAsia" w:hAnsi="宋体" w:cs="宋体"/>
          <w:snapToGrid/>
          <w:kern w:val="2"/>
          <w:sz w:val="32"/>
          <w:szCs w:val="32"/>
        </w:rPr>
      </w:pPr>
    </w:p>
    <w:p w14:paraId="45B3CFC4">
      <w:pPr>
        <w:pStyle w:val="122"/>
        <w:keepNext w:val="0"/>
        <w:spacing w:line="400" w:lineRule="exact"/>
        <w:rPr>
          <w:rFonts w:hAnsi="宋体" w:cs="宋体"/>
          <w:bCs w:val="0"/>
          <w:spacing w:val="40"/>
          <w:sz w:val="24"/>
          <w:szCs w:val="24"/>
        </w:rPr>
      </w:pPr>
      <w:r>
        <w:rPr>
          <w:rFonts w:hint="eastAsia" w:hAnsi="宋体" w:cs="宋体"/>
          <w:snapToGrid/>
          <w:kern w:val="2"/>
          <w:sz w:val="32"/>
          <w:szCs w:val="32"/>
        </w:rPr>
        <w:t>第二部分  项目内容</w:t>
      </w:r>
    </w:p>
    <w:p w14:paraId="1B657FF4">
      <w:pPr>
        <w:adjustRightInd w:val="0"/>
        <w:snapToGrid w:val="0"/>
        <w:spacing w:before="200" w:line="400" w:lineRule="exact"/>
        <w:outlineLvl w:val="1"/>
        <w:rPr>
          <w:rFonts w:ascii="仿宋" w:hAnsi="仿宋" w:eastAsia="仿宋" w:cs="仿宋"/>
          <w:b/>
          <w:sz w:val="24"/>
        </w:rPr>
      </w:pPr>
      <w:r>
        <w:rPr>
          <w:rFonts w:hint="eastAsia" w:ascii="仿宋" w:hAnsi="仿宋" w:eastAsia="仿宋" w:cs="仿宋"/>
          <w:b/>
          <w:sz w:val="24"/>
        </w:rPr>
        <w:t>一、项目业主情况</w:t>
      </w:r>
    </w:p>
    <w:p w14:paraId="22E7BA03">
      <w:pPr>
        <w:adjustRightInd w:val="0"/>
        <w:snapToGrid w:val="0"/>
        <w:spacing w:line="400" w:lineRule="exact"/>
        <w:ind w:firstLine="240" w:firstLineChars="100"/>
        <w:outlineLvl w:val="1"/>
        <w:rPr>
          <w:rFonts w:hint="eastAsia" w:ascii="仿宋" w:hAnsi="仿宋" w:eastAsia="仿宋" w:cs="仿宋"/>
          <w:sz w:val="24"/>
          <w:u w:val="single"/>
          <w:lang w:eastAsia="zh-CN"/>
        </w:rPr>
      </w:pPr>
      <w:r>
        <w:rPr>
          <w:rFonts w:hint="eastAsia" w:ascii="仿宋" w:hAnsi="仿宋" w:eastAsia="仿宋" w:cs="仿宋"/>
          <w:sz w:val="24"/>
        </w:rPr>
        <w:t>（一）单位名称：</w:t>
      </w:r>
      <w:r>
        <w:rPr>
          <w:rFonts w:hint="eastAsia" w:ascii="仿宋" w:hAnsi="仿宋" w:eastAsia="仿宋" w:cs="仿宋"/>
          <w:sz w:val="24"/>
          <w:u w:val="single"/>
        </w:rPr>
        <w:t>广州市前进置业发展有限公司</w:t>
      </w:r>
    </w:p>
    <w:bookmarkEnd w:id="0"/>
    <w:bookmarkEnd w:id="1"/>
    <w:p w14:paraId="0244FD87">
      <w:pPr>
        <w:adjustRightInd w:val="0"/>
        <w:snapToGrid w:val="0"/>
        <w:spacing w:line="400" w:lineRule="exact"/>
        <w:ind w:firstLine="240" w:firstLineChars="100"/>
        <w:outlineLvl w:val="1"/>
        <w:rPr>
          <w:rFonts w:hint="default" w:ascii="仿宋" w:hAnsi="仿宋" w:eastAsia="仿宋" w:cs="仿宋"/>
          <w:sz w:val="24"/>
          <w:lang w:val="en-US" w:eastAsia="zh-CN"/>
        </w:rPr>
      </w:pPr>
      <w:bookmarkStart w:id="3" w:name="_Toc391912315"/>
      <w:bookmarkStart w:id="4" w:name="_Toc391912292"/>
      <w:r>
        <w:rPr>
          <w:rFonts w:hint="eastAsia" w:ascii="仿宋" w:hAnsi="仿宋" w:eastAsia="仿宋" w:cs="仿宋"/>
          <w:sz w:val="24"/>
        </w:rPr>
        <w:t>（二）单位地址：</w:t>
      </w:r>
      <w:r>
        <w:rPr>
          <w:rFonts w:hint="eastAsia" w:ascii="仿宋" w:hAnsi="仿宋" w:eastAsia="仿宋" w:cs="仿宋"/>
          <w:sz w:val="24"/>
          <w:u w:val="single"/>
        </w:rPr>
        <w:t>广州市天河区</w:t>
      </w:r>
      <w:r>
        <w:rPr>
          <w:rFonts w:hint="eastAsia" w:ascii="仿宋" w:hAnsi="仿宋" w:eastAsia="仿宋" w:cs="仿宋"/>
          <w:sz w:val="24"/>
          <w:u w:val="single"/>
          <w:lang w:eastAsia="zh-CN"/>
        </w:rPr>
        <w:t>桃园中路</w:t>
      </w:r>
      <w:r>
        <w:rPr>
          <w:rFonts w:hint="eastAsia" w:ascii="仿宋" w:hAnsi="仿宋" w:eastAsia="仿宋" w:cs="仿宋"/>
          <w:sz w:val="24"/>
          <w:u w:val="single"/>
          <w:lang w:val="en-US" w:eastAsia="zh-CN"/>
        </w:rPr>
        <w:t>3号</w:t>
      </w:r>
    </w:p>
    <w:p w14:paraId="02653AB4">
      <w:pPr>
        <w:adjustRightInd w:val="0"/>
        <w:snapToGrid w:val="0"/>
        <w:spacing w:line="400" w:lineRule="exact"/>
        <w:ind w:firstLine="240" w:firstLineChars="100"/>
        <w:outlineLvl w:val="1"/>
        <w:rPr>
          <w:rFonts w:hint="eastAsia" w:ascii="仿宋" w:hAnsi="仿宋" w:eastAsia="仿宋" w:cs="仿宋"/>
          <w:sz w:val="24"/>
          <w:lang w:val="en-US" w:eastAsia="zh-CN"/>
        </w:rPr>
      </w:pPr>
      <w:r>
        <w:rPr>
          <w:rFonts w:hint="eastAsia" w:ascii="仿宋" w:hAnsi="仿宋" w:eastAsia="仿宋" w:cs="仿宋"/>
          <w:sz w:val="24"/>
        </w:rPr>
        <w:t>（三）法定代表人：</w:t>
      </w:r>
      <w:r>
        <w:rPr>
          <w:rFonts w:hint="eastAsia" w:ascii="仿宋" w:hAnsi="仿宋" w:eastAsia="仿宋" w:cs="仿宋"/>
          <w:sz w:val="24"/>
          <w:u w:val="single"/>
          <w:lang w:val="en-US" w:eastAsia="zh-CN"/>
        </w:rPr>
        <w:t>刘明森</w:t>
      </w:r>
    </w:p>
    <w:p w14:paraId="28A23A9B">
      <w:pPr>
        <w:pStyle w:val="122"/>
        <w:keepNext w:val="0"/>
        <w:spacing w:line="400" w:lineRule="exact"/>
        <w:ind w:firstLine="240" w:firstLineChars="100"/>
        <w:jc w:val="both"/>
        <w:rPr>
          <w:rFonts w:hint="default" w:ascii="仿宋" w:hAnsi="仿宋" w:eastAsia="仿宋" w:cs="仿宋"/>
          <w:b w:val="0"/>
          <w:bCs w:val="0"/>
          <w:spacing w:val="40"/>
          <w:sz w:val="24"/>
          <w:szCs w:val="24"/>
          <w:lang w:val="en-US"/>
        </w:rPr>
      </w:pPr>
      <w:r>
        <w:rPr>
          <w:rFonts w:hint="eastAsia" w:ascii="仿宋" w:hAnsi="仿宋" w:eastAsia="仿宋" w:cs="仿宋"/>
          <w:b w:val="0"/>
          <w:sz w:val="24"/>
          <w:szCs w:val="24"/>
        </w:rPr>
        <w:t>（四）联系方式：</w:t>
      </w:r>
      <w:r>
        <w:rPr>
          <w:rFonts w:hint="eastAsia" w:ascii="仿宋" w:hAnsi="仿宋" w:eastAsia="仿宋" w:cs="仿宋"/>
          <w:b w:val="0"/>
          <w:bCs w:val="0"/>
          <w:sz w:val="24"/>
          <w:szCs w:val="24"/>
          <w:u w:val="single"/>
        </w:rPr>
        <w:t>020-</w:t>
      </w:r>
      <w:r>
        <w:rPr>
          <w:rFonts w:hint="eastAsia" w:ascii="仿宋" w:hAnsi="仿宋" w:eastAsia="仿宋" w:cs="仿宋"/>
          <w:b w:val="0"/>
          <w:bCs w:val="0"/>
          <w:sz w:val="24"/>
          <w:szCs w:val="24"/>
          <w:u w:val="single"/>
          <w:lang w:val="en-US" w:eastAsia="zh-CN"/>
        </w:rPr>
        <w:t>82563779</w:t>
      </w:r>
    </w:p>
    <w:p w14:paraId="067CEC2E">
      <w:pPr>
        <w:adjustRightInd w:val="0"/>
        <w:snapToGrid w:val="0"/>
        <w:spacing w:line="400" w:lineRule="exact"/>
        <w:outlineLvl w:val="1"/>
        <w:rPr>
          <w:rFonts w:ascii="仿宋" w:hAnsi="仿宋" w:eastAsia="仿宋" w:cs="仿宋"/>
          <w:b/>
          <w:sz w:val="24"/>
        </w:rPr>
      </w:pPr>
      <w:r>
        <w:rPr>
          <w:rFonts w:hint="eastAsia" w:ascii="仿宋" w:hAnsi="仿宋" w:eastAsia="仿宋" w:cs="仿宋"/>
          <w:b/>
          <w:sz w:val="24"/>
        </w:rPr>
        <w:t>二、资产情况</w:t>
      </w:r>
      <w:bookmarkEnd w:id="3"/>
      <w:bookmarkEnd w:id="4"/>
    </w:p>
    <w:p w14:paraId="5B1358F9">
      <w:pPr>
        <w:adjustRightInd w:val="0"/>
        <w:snapToGrid w:val="0"/>
        <w:spacing w:line="400" w:lineRule="exact"/>
        <w:outlineLvl w:val="1"/>
        <w:rPr>
          <w:rFonts w:ascii="仿宋" w:hAnsi="仿宋" w:eastAsia="仿宋" w:cs="仿宋"/>
          <w:b/>
          <w:sz w:val="24"/>
        </w:rPr>
      </w:pPr>
      <w:r>
        <w:rPr>
          <w:rFonts w:hint="eastAsia" w:ascii="仿宋" w:hAnsi="仿宋" w:eastAsia="仿宋" w:cs="仿宋"/>
          <w:sz w:val="24"/>
        </w:rPr>
        <w:t>（一）基本情况</w:t>
      </w:r>
    </w:p>
    <w:p w14:paraId="0D96D8DA">
      <w:pPr>
        <w:adjustRightInd w:val="0"/>
        <w:snapToGrid w:val="0"/>
        <w:spacing w:line="400" w:lineRule="exact"/>
        <w:ind w:firstLine="240" w:firstLineChars="100"/>
        <w:outlineLvl w:val="1"/>
        <w:rPr>
          <w:rFonts w:ascii="仿宋" w:hAnsi="仿宋" w:eastAsia="仿宋" w:cs="仿宋"/>
          <w:sz w:val="24"/>
          <w:u w:val="single"/>
        </w:rPr>
      </w:pPr>
      <w:r>
        <w:rPr>
          <w:rFonts w:hint="eastAsia" w:ascii="仿宋" w:hAnsi="仿宋" w:eastAsia="仿宋" w:cs="仿宋"/>
          <w:sz w:val="24"/>
        </w:rPr>
        <w:t>1.资产类型：</w:t>
      </w:r>
      <w:r>
        <w:rPr>
          <w:rFonts w:hint="eastAsia" w:ascii="仿宋" w:hAnsi="仿宋" w:eastAsia="仿宋" w:cs="仿宋"/>
          <w:sz w:val="24"/>
          <w:u w:val="single"/>
        </w:rPr>
        <w:t>物业资产、资源性资产</w:t>
      </w:r>
    </w:p>
    <w:p w14:paraId="13DE2582">
      <w:pPr>
        <w:adjustRightInd w:val="0"/>
        <w:snapToGrid w:val="0"/>
        <w:spacing w:line="400" w:lineRule="exact"/>
        <w:ind w:firstLine="240" w:firstLineChars="100"/>
        <w:outlineLvl w:val="1"/>
        <w:rPr>
          <w:rFonts w:ascii="仿宋" w:hAnsi="仿宋" w:eastAsia="仿宋" w:cs="仿宋"/>
          <w:sz w:val="24"/>
          <w:u w:val="single"/>
        </w:rPr>
      </w:pPr>
      <w:r>
        <w:rPr>
          <w:rFonts w:hint="eastAsia" w:ascii="仿宋" w:hAnsi="仿宋" w:eastAsia="仿宋" w:cs="仿宋"/>
          <w:sz w:val="24"/>
        </w:rPr>
        <w:t>2.坐落位置：</w:t>
      </w:r>
      <w:r>
        <w:rPr>
          <w:rFonts w:hint="eastAsia" w:ascii="仿宋" w:hAnsi="仿宋" w:eastAsia="仿宋" w:cs="仿宋"/>
          <w:sz w:val="24"/>
          <w:u w:val="single"/>
        </w:rPr>
        <w:t>广州市天河区前进街黄埔大道</w:t>
      </w:r>
      <w:r>
        <w:rPr>
          <w:rFonts w:hint="eastAsia" w:ascii="仿宋" w:hAnsi="仿宋" w:eastAsia="仿宋" w:cs="仿宋"/>
          <w:sz w:val="24"/>
          <w:u w:val="single"/>
          <w:lang w:val="en-US" w:eastAsia="zh-CN"/>
        </w:rPr>
        <w:t>东555</w:t>
      </w:r>
      <w:r>
        <w:rPr>
          <w:rFonts w:hint="eastAsia" w:ascii="仿宋" w:hAnsi="仿宋" w:eastAsia="仿宋" w:cs="仿宋"/>
          <w:sz w:val="24"/>
          <w:u w:val="single"/>
        </w:rPr>
        <w:t>号（土名：</w:t>
      </w:r>
      <w:r>
        <w:rPr>
          <w:rFonts w:hint="eastAsia" w:ascii="仿宋" w:hAnsi="仿宋" w:eastAsia="仿宋" w:cs="仿宋"/>
          <w:sz w:val="24"/>
          <w:u w:val="single"/>
          <w:lang w:eastAsia="zh-CN"/>
        </w:rPr>
        <w:t>大布</w:t>
      </w:r>
      <w:r>
        <w:rPr>
          <w:rFonts w:hint="eastAsia" w:ascii="仿宋" w:hAnsi="仿宋" w:eastAsia="仿宋" w:cs="仿宋"/>
          <w:sz w:val="24"/>
          <w:u w:val="single"/>
        </w:rPr>
        <w:t>）</w:t>
      </w:r>
    </w:p>
    <w:p w14:paraId="712CFE93">
      <w:pPr>
        <w:adjustRightInd w:val="0"/>
        <w:snapToGrid w:val="0"/>
        <w:spacing w:line="400" w:lineRule="exact"/>
        <w:ind w:firstLine="240" w:firstLineChars="100"/>
        <w:outlineLvl w:val="1"/>
        <w:rPr>
          <w:rFonts w:ascii="仿宋" w:hAnsi="仿宋" w:eastAsia="仿宋" w:cs="仿宋"/>
          <w:color w:val="auto"/>
          <w:sz w:val="24"/>
          <w:u w:val="single"/>
        </w:rPr>
      </w:pPr>
      <w:r>
        <w:rPr>
          <w:rFonts w:hint="eastAsia" w:ascii="仿宋" w:hAnsi="仿宋" w:eastAsia="仿宋" w:cs="仿宋"/>
          <w:color w:val="auto"/>
          <w:sz w:val="24"/>
        </w:rPr>
        <w:t>3.资产面积</w:t>
      </w:r>
      <w:r>
        <w:rPr>
          <w:rFonts w:hint="eastAsia" w:ascii="仿宋" w:hAnsi="仿宋" w:eastAsia="仿宋" w:cs="仿宋"/>
          <w:color w:val="auto"/>
          <w:sz w:val="24"/>
          <w:lang w:eastAsia="zh-CN"/>
        </w:rPr>
        <w:t>：</w:t>
      </w:r>
      <w:r>
        <w:rPr>
          <w:rFonts w:hint="eastAsia" w:ascii="仿宋" w:hAnsi="仿宋" w:eastAsia="仿宋" w:cs="仿宋"/>
          <w:color w:val="auto"/>
          <w:sz w:val="24"/>
          <w:u w:val="single"/>
          <w:lang w:val="en-US" w:eastAsia="zh-CN"/>
        </w:rPr>
        <w:t xml:space="preserve"> 22489.10</w:t>
      </w:r>
      <w:r>
        <w:rPr>
          <w:rFonts w:hint="eastAsia" w:ascii="仿宋" w:hAnsi="仿宋" w:eastAsia="仿宋" w:cs="仿宋"/>
          <w:color w:val="auto"/>
          <w:sz w:val="24"/>
          <w:u w:val="single"/>
        </w:rPr>
        <w:t>平方米（其中</w:t>
      </w:r>
      <w:r>
        <w:rPr>
          <w:rFonts w:hint="eastAsia" w:ascii="仿宋" w:hAnsi="仿宋" w:eastAsia="仿宋" w:cs="仿宋"/>
          <w:color w:val="auto"/>
          <w:sz w:val="24"/>
          <w:u w:val="single"/>
          <w:lang w:eastAsia="zh-CN"/>
        </w:rPr>
        <w:t>：</w:t>
      </w:r>
      <w:r>
        <w:rPr>
          <w:rFonts w:hint="eastAsia" w:ascii="仿宋" w:hAnsi="仿宋" w:eastAsia="仿宋" w:cs="仿宋"/>
          <w:color w:val="auto"/>
          <w:sz w:val="24"/>
          <w:u w:val="single"/>
        </w:rPr>
        <w:t>物业建筑面积</w:t>
      </w:r>
      <w:r>
        <w:rPr>
          <w:rFonts w:hint="eastAsia" w:ascii="仿宋" w:hAnsi="仿宋" w:eastAsia="仿宋" w:cs="仿宋"/>
          <w:color w:val="auto"/>
          <w:sz w:val="24"/>
          <w:u w:val="single"/>
          <w:lang w:eastAsia="zh-CN"/>
        </w:rPr>
        <w:t>：</w:t>
      </w:r>
      <w:r>
        <w:rPr>
          <w:rFonts w:hint="eastAsia" w:ascii="仿宋" w:hAnsi="仿宋" w:eastAsia="仿宋" w:cs="仿宋"/>
          <w:color w:val="auto"/>
          <w:sz w:val="24"/>
          <w:u w:val="single"/>
          <w:lang w:val="en-US" w:eastAsia="zh-CN"/>
        </w:rPr>
        <w:t xml:space="preserve"> 17373.82 </w:t>
      </w:r>
      <w:r>
        <w:rPr>
          <w:rFonts w:hint="eastAsia" w:ascii="仿宋" w:hAnsi="仿宋" w:eastAsia="仿宋" w:cs="仿宋"/>
          <w:color w:val="auto"/>
          <w:sz w:val="24"/>
          <w:u w:val="single"/>
        </w:rPr>
        <w:t>平方米</w:t>
      </w:r>
      <w:r>
        <w:rPr>
          <w:rFonts w:hint="eastAsia" w:ascii="仿宋" w:hAnsi="仿宋" w:eastAsia="仿宋" w:cs="仿宋"/>
          <w:color w:val="auto"/>
          <w:sz w:val="24"/>
          <w:u w:val="single"/>
          <w:lang w:eastAsia="zh-CN"/>
        </w:rPr>
        <w:t>，</w:t>
      </w:r>
      <w:r>
        <w:rPr>
          <w:rFonts w:hint="eastAsia" w:ascii="仿宋" w:hAnsi="仿宋" w:eastAsia="仿宋" w:cs="仿宋"/>
          <w:color w:val="auto"/>
          <w:sz w:val="24"/>
          <w:u w:val="single"/>
        </w:rPr>
        <w:t>场地面积</w:t>
      </w:r>
      <w:r>
        <w:rPr>
          <w:rFonts w:hint="eastAsia" w:ascii="仿宋" w:hAnsi="仿宋" w:eastAsia="仿宋" w:cs="仿宋"/>
          <w:color w:val="auto"/>
          <w:sz w:val="24"/>
          <w:u w:val="single"/>
          <w:lang w:eastAsia="zh-CN"/>
        </w:rPr>
        <w:t>：</w:t>
      </w:r>
      <w:r>
        <w:rPr>
          <w:rFonts w:hint="eastAsia" w:ascii="仿宋" w:hAnsi="仿宋" w:eastAsia="仿宋" w:cs="仿宋"/>
          <w:color w:val="auto"/>
          <w:sz w:val="24"/>
          <w:u w:val="single"/>
          <w:lang w:val="en-US" w:eastAsia="zh-CN"/>
        </w:rPr>
        <w:t xml:space="preserve">5115.28 </w:t>
      </w:r>
      <w:r>
        <w:rPr>
          <w:rFonts w:hint="eastAsia" w:ascii="仿宋" w:hAnsi="仿宋" w:eastAsia="仿宋" w:cs="仿宋"/>
          <w:color w:val="auto"/>
          <w:sz w:val="24"/>
          <w:u w:val="single"/>
        </w:rPr>
        <w:t>平方米）</w:t>
      </w:r>
    </w:p>
    <w:p w14:paraId="512CA1FE">
      <w:pPr>
        <w:adjustRightInd w:val="0"/>
        <w:snapToGrid w:val="0"/>
        <w:spacing w:line="400" w:lineRule="exact"/>
        <w:ind w:firstLine="240" w:firstLineChars="100"/>
        <w:outlineLvl w:val="1"/>
        <w:rPr>
          <w:rFonts w:ascii="仿宋" w:hAnsi="仿宋" w:eastAsia="仿宋" w:cs="仿宋"/>
          <w:b/>
          <w:color w:val="auto"/>
          <w:sz w:val="24"/>
          <w:u w:val="single"/>
        </w:rPr>
      </w:pPr>
      <w:r>
        <w:rPr>
          <w:rFonts w:hint="eastAsia" w:ascii="仿宋" w:hAnsi="仿宋" w:eastAsia="仿宋" w:cs="仿宋"/>
          <w:color w:val="auto"/>
          <w:sz w:val="24"/>
        </w:rPr>
        <w:t>4.资产用途：</w:t>
      </w:r>
      <w:r>
        <w:rPr>
          <w:rFonts w:hint="eastAsia" w:ascii="仿宋" w:hAnsi="仿宋" w:eastAsia="仿宋" w:cs="仿宋"/>
          <w:color w:val="auto"/>
          <w:sz w:val="24"/>
          <w:u w:val="single"/>
        </w:rPr>
        <w:t>商业</w:t>
      </w:r>
    </w:p>
    <w:p w14:paraId="335E9298">
      <w:pPr>
        <w:adjustRightInd w:val="0"/>
        <w:snapToGrid w:val="0"/>
        <w:spacing w:line="400" w:lineRule="exact"/>
        <w:ind w:firstLine="240" w:firstLineChars="100"/>
        <w:outlineLvl w:val="1"/>
        <w:rPr>
          <w:rFonts w:hint="eastAsia" w:ascii="仿宋" w:hAnsi="仿宋" w:eastAsia="仿宋" w:cs="仿宋"/>
          <w:color w:val="auto"/>
          <w:sz w:val="24"/>
          <w:u w:val="single"/>
          <w:lang w:eastAsia="zh-CN"/>
        </w:rPr>
      </w:pPr>
      <w:r>
        <w:rPr>
          <w:rFonts w:hint="eastAsia" w:ascii="仿宋" w:hAnsi="仿宋" w:eastAsia="仿宋" w:cs="仿宋"/>
          <w:color w:val="auto"/>
          <w:sz w:val="24"/>
        </w:rPr>
        <w:t>5.资产现状：</w:t>
      </w:r>
      <w:r>
        <w:rPr>
          <w:rFonts w:hint="eastAsia" w:ascii="仿宋" w:hAnsi="仿宋" w:eastAsia="仿宋" w:cs="仿宋"/>
          <w:color w:val="auto"/>
          <w:sz w:val="24"/>
          <w:u w:val="single"/>
          <w:lang w:eastAsia="zh-CN"/>
        </w:rPr>
        <w:t>空置</w:t>
      </w:r>
    </w:p>
    <w:p w14:paraId="17E79047">
      <w:pPr>
        <w:adjustRightInd w:val="0"/>
        <w:snapToGrid w:val="0"/>
        <w:spacing w:line="400" w:lineRule="exact"/>
        <w:ind w:firstLine="240" w:firstLineChars="100"/>
        <w:outlineLvl w:val="1"/>
        <w:rPr>
          <w:rFonts w:hint="default" w:ascii="仿宋" w:hAnsi="仿宋" w:eastAsia="仿宋" w:cs="仿宋"/>
          <w:color w:val="auto"/>
          <w:sz w:val="24"/>
          <w:u w:val="single"/>
          <w:lang w:val="en-US" w:eastAsia="zh-CN"/>
        </w:rPr>
      </w:pPr>
      <w:r>
        <w:rPr>
          <w:rFonts w:hint="eastAsia" w:ascii="仿宋" w:hAnsi="仿宋" w:eastAsia="仿宋" w:cs="仿宋"/>
          <w:color w:val="auto"/>
          <w:sz w:val="24"/>
        </w:rPr>
        <w:t>6.产权现状：</w:t>
      </w:r>
      <w:r>
        <w:rPr>
          <w:rFonts w:hint="eastAsia" w:ascii="仿宋" w:hAnsi="仿宋" w:eastAsia="仿宋" w:cs="仿宋"/>
          <w:color w:val="auto"/>
          <w:sz w:val="24"/>
          <w:u w:val="single"/>
          <w:lang w:val="en-US" w:eastAsia="zh-CN"/>
        </w:rPr>
        <w:t>场地《集体土地所有证》；部分物业持有《集体土地房产证》</w:t>
      </w:r>
    </w:p>
    <w:p w14:paraId="08A81246">
      <w:pPr>
        <w:adjustRightInd w:val="0"/>
        <w:snapToGrid w:val="0"/>
        <w:spacing w:line="400" w:lineRule="exact"/>
        <w:ind w:firstLine="240" w:firstLineChars="100"/>
        <w:outlineLvl w:val="1"/>
        <w:rPr>
          <w:rFonts w:hint="default" w:ascii="仿宋" w:hAnsi="仿宋" w:eastAsia="仿宋" w:cs="仿宋"/>
          <w:color w:val="auto"/>
          <w:sz w:val="24"/>
          <w:u w:val="single"/>
          <w:lang w:val="en-US" w:eastAsia="zh-CN"/>
        </w:rPr>
      </w:pPr>
      <w:r>
        <w:rPr>
          <w:rFonts w:hint="eastAsia" w:ascii="仿宋" w:hAnsi="仿宋" w:eastAsia="仿宋" w:cs="仿宋"/>
          <w:color w:val="auto"/>
          <w:sz w:val="24"/>
          <w:u w:val="single"/>
          <w:lang w:val="en-US" w:eastAsia="zh-CN"/>
        </w:rPr>
        <w:t>7.项目规划：以“数字广告”为核心、延伸布局数字内容生产、智能营销技术、大数据分析等关键环节，打造数字广告特色产业园。</w:t>
      </w:r>
    </w:p>
    <w:p w14:paraId="7E37AB8F">
      <w:pPr>
        <w:adjustRightInd w:val="0"/>
        <w:spacing w:line="400" w:lineRule="exact"/>
        <w:ind w:firstLine="240" w:firstLineChars="100"/>
        <w:rPr>
          <w:rFonts w:ascii="仿宋" w:hAnsi="仿宋" w:eastAsia="仿宋" w:cs="仿宋"/>
          <w:sz w:val="24"/>
        </w:rPr>
      </w:pPr>
      <w:r>
        <w:rPr>
          <w:rFonts w:hint="eastAsia" w:ascii="仿宋" w:hAnsi="仿宋" w:eastAsia="仿宋" w:cs="仿宋"/>
          <w:sz w:val="24"/>
        </w:rPr>
        <w:t>（二）权属情况</w:t>
      </w:r>
    </w:p>
    <w:p w14:paraId="5BC3533D">
      <w:pPr>
        <w:wordWrap w:val="0"/>
        <w:adjustRightInd w:val="0"/>
        <w:spacing w:line="400" w:lineRule="exact"/>
        <w:ind w:firstLine="240" w:firstLineChars="100"/>
        <w:rPr>
          <w:rFonts w:ascii="仿宋" w:hAnsi="仿宋" w:eastAsia="仿宋" w:cs="仿宋"/>
          <w:sz w:val="24"/>
        </w:rPr>
      </w:pPr>
      <w:r>
        <w:rPr>
          <w:rFonts w:hint="eastAsia" w:ascii="仿宋" w:hAnsi="仿宋" w:eastAsia="仿宋" w:cs="仿宋"/>
          <w:sz w:val="24"/>
        </w:rPr>
        <w:t>1.场地所有权人(或有效证明材料编号)：</w:t>
      </w:r>
      <w:r>
        <w:rPr>
          <w:rFonts w:hint="eastAsia" w:ascii="仿宋" w:hAnsi="仿宋" w:eastAsia="仿宋" w:cs="仿宋"/>
          <w:sz w:val="24"/>
          <w:u w:val="single"/>
        </w:rPr>
        <w:t>广州市天河区前进街前进股份合作经济社联社</w:t>
      </w:r>
    </w:p>
    <w:p w14:paraId="07123EB9">
      <w:pPr>
        <w:wordWrap w:val="0"/>
        <w:adjustRightInd w:val="0"/>
        <w:spacing w:line="400" w:lineRule="exact"/>
        <w:ind w:firstLine="240" w:firstLineChars="100"/>
        <w:rPr>
          <w:rFonts w:ascii="仿宋" w:hAnsi="仿宋" w:eastAsia="仿宋" w:cs="仿宋"/>
          <w:sz w:val="24"/>
          <w:u w:val="single"/>
        </w:rPr>
      </w:pPr>
      <w:r>
        <w:rPr>
          <w:rFonts w:hint="eastAsia" w:ascii="仿宋" w:hAnsi="仿宋" w:eastAsia="仿宋" w:cs="仿宋"/>
          <w:sz w:val="24"/>
        </w:rPr>
        <w:t>2.场地所有权证号(或其他权属有效证明材料编号)：</w:t>
      </w:r>
      <w:r>
        <w:rPr>
          <w:rFonts w:hint="eastAsia" w:ascii="仿宋" w:hAnsi="仿宋" w:eastAsia="仿宋" w:cs="仿宋"/>
          <w:color w:val="auto"/>
          <w:sz w:val="24"/>
          <w:u w:val="single"/>
        </w:rPr>
        <w:t>《集体土地所有证》穗集有（2012）第09000230号</w:t>
      </w:r>
    </w:p>
    <w:p w14:paraId="6B80600C">
      <w:pPr>
        <w:wordWrap w:val="0"/>
        <w:adjustRightInd w:val="0"/>
        <w:spacing w:line="400" w:lineRule="exact"/>
        <w:ind w:firstLine="240" w:firstLineChars="100"/>
        <w:rPr>
          <w:rFonts w:ascii="仿宋" w:hAnsi="仿宋" w:eastAsia="仿宋" w:cs="仿宋"/>
          <w:sz w:val="24"/>
          <w:u w:val="single"/>
        </w:rPr>
      </w:pPr>
      <w:r>
        <w:rPr>
          <w:rFonts w:hint="eastAsia" w:ascii="仿宋" w:hAnsi="仿宋" w:eastAsia="仿宋" w:cs="仿宋"/>
          <w:sz w:val="24"/>
        </w:rPr>
        <w:t>3.场地使用权人：</w:t>
      </w:r>
      <w:r>
        <w:rPr>
          <w:rFonts w:hint="eastAsia" w:ascii="仿宋" w:hAnsi="仿宋" w:eastAsia="仿宋" w:cs="仿宋"/>
          <w:sz w:val="24"/>
          <w:u w:val="single"/>
        </w:rPr>
        <w:t xml:space="preserve">     /              </w:t>
      </w:r>
    </w:p>
    <w:p w14:paraId="74DB5843">
      <w:pPr>
        <w:wordWrap w:val="0"/>
        <w:adjustRightInd w:val="0"/>
        <w:spacing w:line="400" w:lineRule="exact"/>
        <w:ind w:firstLine="240" w:firstLineChars="100"/>
        <w:rPr>
          <w:rFonts w:ascii="仿宋" w:hAnsi="仿宋" w:eastAsia="仿宋" w:cs="仿宋"/>
          <w:sz w:val="24"/>
          <w:u w:val="single"/>
        </w:rPr>
      </w:pPr>
      <w:r>
        <w:rPr>
          <w:rFonts w:hint="eastAsia" w:ascii="仿宋" w:hAnsi="仿宋" w:eastAsia="仿宋" w:cs="仿宋"/>
          <w:sz w:val="24"/>
        </w:rPr>
        <w:t>4.场地使用权证号(或其他权属有效证明材料编号)：</w:t>
      </w:r>
      <w:r>
        <w:rPr>
          <w:rFonts w:hint="eastAsia" w:ascii="仿宋" w:hAnsi="仿宋" w:eastAsia="仿宋" w:cs="仿宋"/>
          <w:sz w:val="24"/>
          <w:u w:val="single"/>
        </w:rPr>
        <w:t xml:space="preserve">     /           </w:t>
      </w:r>
    </w:p>
    <w:p w14:paraId="1C31C42B">
      <w:pPr>
        <w:wordWrap w:val="0"/>
        <w:adjustRightInd w:val="0"/>
        <w:spacing w:line="400" w:lineRule="exact"/>
        <w:ind w:firstLine="240" w:firstLineChars="100"/>
        <w:rPr>
          <w:rFonts w:ascii="仿宋" w:hAnsi="仿宋" w:eastAsia="仿宋" w:cs="仿宋"/>
          <w:sz w:val="24"/>
        </w:rPr>
      </w:pPr>
      <w:r>
        <w:rPr>
          <w:rFonts w:hint="eastAsia" w:ascii="仿宋" w:hAnsi="仿宋" w:eastAsia="仿宋" w:cs="仿宋"/>
          <w:sz w:val="24"/>
        </w:rPr>
        <w:t>5.地号：</w:t>
      </w:r>
      <w:r>
        <w:rPr>
          <w:rFonts w:hint="eastAsia" w:ascii="仿宋" w:hAnsi="仿宋" w:eastAsia="仿宋" w:cs="仿宋"/>
          <w:sz w:val="24"/>
          <w:u w:val="single"/>
        </w:rPr>
        <w:t xml:space="preserve">         /          </w:t>
      </w:r>
    </w:p>
    <w:p w14:paraId="3CB09EAB">
      <w:pPr>
        <w:wordWrap w:val="0"/>
        <w:adjustRightInd w:val="0"/>
        <w:spacing w:line="400" w:lineRule="exact"/>
        <w:ind w:firstLine="240" w:firstLineChars="100"/>
        <w:rPr>
          <w:rFonts w:ascii="仿宋" w:hAnsi="仿宋" w:eastAsia="仿宋" w:cs="仿宋"/>
          <w:sz w:val="24"/>
          <w:u w:val="single"/>
        </w:rPr>
      </w:pPr>
      <w:r>
        <w:rPr>
          <w:rFonts w:hint="eastAsia" w:ascii="仿宋" w:hAnsi="仿宋" w:eastAsia="仿宋" w:cs="仿宋"/>
          <w:sz w:val="24"/>
        </w:rPr>
        <w:t>6.房产所有权人：</w:t>
      </w:r>
      <w:r>
        <w:rPr>
          <w:rFonts w:hint="eastAsia" w:ascii="仿宋" w:hAnsi="仿宋" w:eastAsia="仿宋" w:cs="仿宋"/>
          <w:sz w:val="24"/>
          <w:u w:val="single"/>
        </w:rPr>
        <w:t>广州市前进置业发展有限公司</w:t>
      </w:r>
    </w:p>
    <w:p w14:paraId="4EB0C978">
      <w:pPr>
        <w:wordWrap w:val="0"/>
        <w:adjustRightInd w:val="0"/>
        <w:spacing w:line="400" w:lineRule="exact"/>
        <w:ind w:firstLine="240" w:firstLineChars="100"/>
        <w:rPr>
          <w:rFonts w:ascii="仿宋" w:hAnsi="仿宋" w:eastAsia="仿宋" w:cs="仿宋"/>
          <w:sz w:val="24"/>
          <w:u w:val="single"/>
        </w:rPr>
      </w:pPr>
      <w:r>
        <w:rPr>
          <w:rFonts w:hint="eastAsia" w:ascii="仿宋" w:hAnsi="仿宋" w:eastAsia="仿宋" w:cs="仿宋"/>
          <w:sz w:val="24"/>
        </w:rPr>
        <w:t>7.房产所有权证号(或其他权属有效证明材料编号)：</w:t>
      </w:r>
      <w:r>
        <w:rPr>
          <w:rFonts w:hint="eastAsia" w:ascii="仿宋" w:hAnsi="仿宋" w:eastAsia="仿宋" w:cs="仿宋"/>
          <w:color w:val="auto"/>
          <w:sz w:val="24"/>
          <w:u w:val="single"/>
        </w:rPr>
        <w:t>《集体土地房产证》（穗集地证字第0102352号、穗集地证字第0102353号、穗集地证字第0102354号、穗集地证字第0102356号、穗集地证字第0102357号、穗集地证字第010235</w:t>
      </w:r>
      <w:r>
        <w:rPr>
          <w:rFonts w:hint="eastAsia" w:ascii="仿宋" w:hAnsi="仿宋" w:eastAsia="仿宋" w:cs="仿宋"/>
          <w:color w:val="auto"/>
          <w:sz w:val="24"/>
          <w:u w:val="single"/>
          <w:lang w:val="en-US" w:eastAsia="zh-CN"/>
        </w:rPr>
        <w:t>8</w:t>
      </w:r>
      <w:r>
        <w:rPr>
          <w:rFonts w:hint="eastAsia" w:ascii="仿宋" w:hAnsi="仿宋" w:eastAsia="仿宋" w:cs="仿宋"/>
          <w:color w:val="auto"/>
          <w:sz w:val="24"/>
          <w:u w:val="single"/>
        </w:rPr>
        <w:t>号</w:t>
      </w:r>
      <w:r>
        <w:rPr>
          <w:rFonts w:hint="eastAsia" w:ascii="仿宋" w:hAnsi="仿宋" w:eastAsia="仿宋" w:cs="仿宋"/>
          <w:color w:val="auto"/>
          <w:sz w:val="24"/>
          <w:u w:val="single"/>
          <w:lang w:eastAsia="zh-CN"/>
        </w:rPr>
        <w:t>、</w:t>
      </w:r>
      <w:r>
        <w:rPr>
          <w:rFonts w:hint="eastAsia" w:ascii="仿宋" w:hAnsi="仿宋" w:eastAsia="仿宋" w:cs="仿宋"/>
          <w:color w:val="auto"/>
          <w:sz w:val="24"/>
          <w:u w:val="single"/>
        </w:rPr>
        <w:t>穗集地证字第0102359号）</w:t>
      </w:r>
    </w:p>
    <w:p w14:paraId="462A306C">
      <w:pPr>
        <w:wordWrap w:val="0"/>
        <w:adjustRightInd w:val="0"/>
        <w:spacing w:line="400" w:lineRule="exact"/>
        <w:ind w:firstLine="240" w:firstLineChars="100"/>
        <w:rPr>
          <w:rFonts w:ascii="仿宋" w:hAnsi="仿宋" w:eastAsia="仿宋" w:cs="仿宋"/>
          <w:sz w:val="24"/>
        </w:rPr>
      </w:pPr>
      <w:r>
        <w:rPr>
          <w:rFonts w:hint="eastAsia" w:ascii="仿宋" w:hAnsi="仿宋" w:eastAsia="仿宋" w:cs="仿宋"/>
          <w:sz w:val="24"/>
        </w:rPr>
        <w:t>（三）抵押情况</w:t>
      </w:r>
    </w:p>
    <w:p w14:paraId="65D0358B">
      <w:pPr>
        <w:wordWrap w:val="0"/>
        <w:adjustRightInd w:val="0"/>
        <w:spacing w:line="400" w:lineRule="exact"/>
        <w:ind w:firstLine="240" w:firstLineChars="100"/>
        <w:rPr>
          <w:rFonts w:ascii="仿宋" w:hAnsi="仿宋" w:eastAsia="仿宋" w:cs="仿宋"/>
          <w:sz w:val="24"/>
        </w:rPr>
      </w:pPr>
      <w:r>
        <w:rPr>
          <w:rFonts w:hint="eastAsia" w:ascii="仿宋" w:hAnsi="仿宋" w:eastAsia="仿宋" w:cs="仿宋"/>
          <w:sz w:val="24"/>
        </w:rPr>
        <w:t>1.抵押权人：</w:t>
      </w:r>
      <w:r>
        <w:rPr>
          <w:rFonts w:hint="eastAsia" w:ascii="仿宋" w:hAnsi="仿宋" w:eastAsia="仿宋" w:cs="仿宋"/>
          <w:sz w:val="24"/>
          <w:u w:val="single"/>
        </w:rPr>
        <w:t xml:space="preserve">          /                       </w:t>
      </w:r>
    </w:p>
    <w:p w14:paraId="23EC1A67">
      <w:pPr>
        <w:wordWrap w:val="0"/>
        <w:adjustRightInd w:val="0"/>
        <w:spacing w:line="400" w:lineRule="exact"/>
        <w:ind w:firstLine="240" w:firstLineChars="100"/>
        <w:rPr>
          <w:rFonts w:ascii="仿宋" w:hAnsi="仿宋" w:eastAsia="仿宋" w:cs="仿宋"/>
          <w:sz w:val="24"/>
        </w:rPr>
      </w:pPr>
      <w:r>
        <w:rPr>
          <w:rFonts w:hint="eastAsia" w:ascii="仿宋" w:hAnsi="仿宋" w:eastAsia="仿宋" w:cs="仿宋"/>
          <w:sz w:val="24"/>
        </w:rPr>
        <w:t>2.他项权证号：</w:t>
      </w:r>
      <w:r>
        <w:rPr>
          <w:rFonts w:hint="eastAsia" w:ascii="仿宋" w:hAnsi="仿宋" w:eastAsia="仿宋" w:cs="仿宋"/>
          <w:sz w:val="24"/>
          <w:u w:val="single"/>
        </w:rPr>
        <w:t xml:space="preserve">      /                         </w:t>
      </w:r>
    </w:p>
    <w:p w14:paraId="063E6C2B">
      <w:pPr>
        <w:wordWrap w:val="0"/>
        <w:adjustRightInd w:val="0"/>
        <w:spacing w:line="400" w:lineRule="exact"/>
        <w:ind w:firstLine="240" w:firstLineChars="100"/>
        <w:rPr>
          <w:rFonts w:hint="eastAsia" w:ascii="仿宋" w:hAnsi="仿宋" w:eastAsia="仿宋" w:cs="仿宋"/>
          <w:sz w:val="24"/>
        </w:rPr>
      </w:pPr>
      <w:r>
        <w:rPr>
          <w:rFonts w:hint="eastAsia" w:ascii="仿宋" w:hAnsi="仿宋" w:eastAsia="仿宋" w:cs="仿宋"/>
          <w:sz w:val="24"/>
        </w:rPr>
        <w:t>3.抵押期限：从</w:t>
      </w:r>
      <w:r>
        <w:rPr>
          <w:rFonts w:hint="eastAsia" w:ascii="仿宋" w:hAnsi="仿宋" w:eastAsia="仿宋" w:cs="仿宋"/>
          <w:sz w:val="24"/>
          <w:u w:val="single"/>
        </w:rPr>
        <w:t xml:space="preserve">   /  </w:t>
      </w:r>
      <w:r>
        <w:rPr>
          <w:rFonts w:hint="eastAsia" w:ascii="仿宋" w:hAnsi="仿宋" w:eastAsia="仿宋" w:cs="仿宋"/>
          <w:sz w:val="24"/>
        </w:rPr>
        <w:t>年</w:t>
      </w:r>
      <w:r>
        <w:rPr>
          <w:rFonts w:hint="eastAsia" w:ascii="仿宋" w:hAnsi="仿宋" w:eastAsia="仿宋" w:cs="仿宋"/>
          <w:sz w:val="24"/>
          <w:u w:val="single"/>
        </w:rPr>
        <w:t xml:space="preserve">  / </w:t>
      </w:r>
      <w:r>
        <w:rPr>
          <w:rFonts w:hint="eastAsia" w:ascii="仿宋" w:hAnsi="仿宋" w:eastAsia="仿宋" w:cs="仿宋"/>
          <w:sz w:val="24"/>
        </w:rPr>
        <w:t>月</w:t>
      </w:r>
      <w:r>
        <w:rPr>
          <w:rFonts w:hint="eastAsia" w:ascii="仿宋" w:hAnsi="仿宋" w:eastAsia="仿宋" w:cs="仿宋"/>
          <w:sz w:val="24"/>
          <w:u w:val="single"/>
        </w:rPr>
        <w:t xml:space="preserve"> /  </w:t>
      </w:r>
      <w:r>
        <w:rPr>
          <w:rFonts w:hint="eastAsia" w:ascii="仿宋" w:hAnsi="仿宋" w:eastAsia="仿宋" w:cs="仿宋"/>
          <w:sz w:val="24"/>
        </w:rPr>
        <w:t>日至</w:t>
      </w:r>
      <w:r>
        <w:rPr>
          <w:rFonts w:hint="eastAsia" w:ascii="仿宋" w:hAnsi="仿宋" w:eastAsia="仿宋" w:cs="仿宋"/>
          <w:sz w:val="24"/>
          <w:u w:val="single"/>
        </w:rPr>
        <w:t xml:space="preserve">  /   </w:t>
      </w:r>
      <w:r>
        <w:rPr>
          <w:rFonts w:hint="eastAsia" w:ascii="仿宋" w:hAnsi="仿宋" w:eastAsia="仿宋" w:cs="仿宋"/>
          <w:sz w:val="24"/>
        </w:rPr>
        <w:t>年</w:t>
      </w:r>
      <w:r>
        <w:rPr>
          <w:rFonts w:hint="eastAsia" w:ascii="仿宋" w:hAnsi="仿宋" w:eastAsia="仿宋" w:cs="仿宋"/>
          <w:sz w:val="24"/>
          <w:u w:val="single"/>
        </w:rPr>
        <w:t xml:space="preserve"> /  </w:t>
      </w:r>
      <w:r>
        <w:rPr>
          <w:rFonts w:hint="eastAsia" w:ascii="仿宋" w:hAnsi="仿宋" w:eastAsia="仿宋" w:cs="仿宋"/>
          <w:sz w:val="24"/>
        </w:rPr>
        <w:t>月</w:t>
      </w:r>
      <w:r>
        <w:rPr>
          <w:rFonts w:hint="eastAsia" w:ascii="仿宋" w:hAnsi="仿宋" w:eastAsia="仿宋" w:cs="仿宋"/>
          <w:sz w:val="24"/>
          <w:u w:val="single"/>
        </w:rPr>
        <w:t xml:space="preserve"> /  </w:t>
      </w:r>
      <w:r>
        <w:rPr>
          <w:rFonts w:hint="eastAsia" w:ascii="仿宋" w:hAnsi="仿宋" w:eastAsia="仿宋" w:cs="仿宋"/>
          <w:sz w:val="24"/>
        </w:rPr>
        <w:t>日。</w:t>
      </w:r>
    </w:p>
    <w:p w14:paraId="4F1BE2EB">
      <w:pPr>
        <w:wordWrap w:val="0"/>
        <w:adjustRightInd w:val="0"/>
        <w:spacing w:line="400" w:lineRule="exact"/>
        <w:ind w:firstLine="240" w:firstLineChars="100"/>
        <w:rPr>
          <w:rFonts w:ascii="仿宋" w:hAnsi="仿宋" w:eastAsia="仿宋" w:cs="仿宋"/>
          <w:color w:val="auto"/>
          <w:sz w:val="24"/>
          <w:u w:val="single"/>
        </w:rPr>
      </w:pPr>
      <w:r>
        <w:rPr>
          <w:rFonts w:hint="eastAsia" w:ascii="仿宋" w:hAnsi="仿宋" w:eastAsia="仿宋" w:cs="仿宋"/>
          <w:color w:val="auto"/>
          <w:sz w:val="24"/>
        </w:rPr>
        <w:t>（四）消防情况：</w:t>
      </w:r>
      <w:r>
        <w:rPr>
          <w:rFonts w:hint="eastAsia" w:ascii="仿宋" w:hAnsi="仿宋" w:eastAsia="仿宋" w:cs="仿宋"/>
          <w:color w:val="auto"/>
          <w:sz w:val="24"/>
          <w:u w:val="single"/>
        </w:rPr>
        <w:t xml:space="preserve">   未办理消防手续及相关证照   </w:t>
      </w:r>
      <w:bookmarkStart w:id="5" w:name="_Toc391912293"/>
      <w:bookmarkStart w:id="6" w:name="_Toc391912316"/>
    </w:p>
    <w:p w14:paraId="2847688F">
      <w:pPr>
        <w:adjustRightInd w:val="0"/>
        <w:snapToGrid w:val="0"/>
        <w:spacing w:line="400" w:lineRule="exact"/>
        <w:outlineLvl w:val="1"/>
        <w:rPr>
          <w:rFonts w:ascii="仿宋" w:hAnsi="仿宋" w:eastAsia="仿宋" w:cs="仿宋"/>
          <w:b/>
          <w:sz w:val="24"/>
        </w:rPr>
      </w:pPr>
      <w:r>
        <w:rPr>
          <w:rFonts w:hint="eastAsia" w:ascii="仿宋" w:hAnsi="仿宋" w:eastAsia="仿宋" w:cs="仿宋"/>
          <w:b/>
          <w:sz w:val="24"/>
        </w:rPr>
        <w:t>三、租赁/承包要求</w:t>
      </w:r>
      <w:bookmarkEnd w:id="5"/>
      <w:bookmarkEnd w:id="6"/>
    </w:p>
    <w:p w14:paraId="6B772BBD">
      <w:pPr>
        <w:adjustRightInd w:val="0"/>
        <w:spacing w:line="400" w:lineRule="exact"/>
        <w:ind w:firstLine="240" w:firstLineChars="100"/>
        <w:rPr>
          <w:rFonts w:ascii="仿宋" w:hAnsi="仿宋" w:eastAsia="仿宋" w:cs="仿宋"/>
          <w:sz w:val="24"/>
        </w:rPr>
      </w:pPr>
      <w:r>
        <w:rPr>
          <w:rFonts w:hint="eastAsia" w:ascii="仿宋" w:hAnsi="仿宋" w:eastAsia="仿宋" w:cs="仿宋"/>
          <w:sz w:val="24"/>
        </w:rPr>
        <w:t>（一）资产交付时间：</w:t>
      </w:r>
      <w:r>
        <w:rPr>
          <w:rFonts w:hint="eastAsia" w:ascii="仿宋" w:hAnsi="仿宋" w:eastAsia="仿宋" w:cs="仿宋"/>
          <w:sz w:val="24"/>
          <w:u w:val="single"/>
        </w:rPr>
        <w:t xml:space="preserve">               </w:t>
      </w:r>
      <w:r>
        <w:rPr>
          <w:rFonts w:hint="eastAsia" w:ascii="仿宋" w:hAnsi="仿宋" w:eastAsia="仿宋" w:cs="仿宋"/>
          <w:sz w:val="24"/>
        </w:rPr>
        <w:t>（以实际交付时间为准）</w:t>
      </w:r>
    </w:p>
    <w:p w14:paraId="251FBAEC">
      <w:pPr>
        <w:adjustRightInd w:val="0"/>
        <w:spacing w:line="400" w:lineRule="exact"/>
        <w:ind w:firstLine="240" w:firstLineChars="100"/>
        <w:rPr>
          <w:rFonts w:ascii="仿宋" w:hAnsi="仿宋" w:eastAsia="仿宋" w:cs="仿宋"/>
          <w:color w:val="auto"/>
          <w:sz w:val="24"/>
        </w:rPr>
      </w:pPr>
      <w:r>
        <w:rPr>
          <w:rFonts w:hint="eastAsia" w:ascii="仿宋" w:hAnsi="仿宋" w:eastAsia="仿宋" w:cs="仿宋"/>
          <w:color w:val="auto"/>
          <w:sz w:val="24"/>
        </w:rPr>
        <w:t>（二）租赁/承包期限为</w:t>
      </w:r>
      <w:r>
        <w:rPr>
          <w:rFonts w:hint="eastAsia" w:ascii="仿宋" w:hAnsi="仿宋" w:eastAsia="仿宋" w:cs="仿宋"/>
          <w:color w:val="auto"/>
          <w:sz w:val="24"/>
          <w:u w:val="single"/>
          <w:lang w:val="en-US" w:eastAsia="zh-CN"/>
        </w:rPr>
        <w:t xml:space="preserve">  20</w:t>
      </w:r>
      <w:r>
        <w:rPr>
          <w:rFonts w:hint="eastAsia" w:ascii="仿宋" w:hAnsi="仿宋" w:eastAsia="仿宋" w:cs="仿宋"/>
          <w:color w:val="auto"/>
          <w:sz w:val="24"/>
          <w:u w:val="single"/>
        </w:rPr>
        <w:t>年，自</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日至</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日止</w:t>
      </w:r>
      <w:r>
        <w:rPr>
          <w:rFonts w:hint="eastAsia" w:ascii="仿宋" w:hAnsi="仿宋" w:eastAsia="仿宋" w:cs="仿宋"/>
          <w:color w:val="auto"/>
          <w:sz w:val="24"/>
        </w:rPr>
        <w:t>。（以合同签订为准）</w:t>
      </w:r>
    </w:p>
    <w:p w14:paraId="2361975B">
      <w:pPr>
        <w:adjustRightInd w:val="0"/>
        <w:spacing w:line="400" w:lineRule="exact"/>
        <w:ind w:firstLine="240" w:firstLineChars="100"/>
        <w:rPr>
          <w:rFonts w:ascii="仿宋" w:hAnsi="仿宋" w:eastAsia="仿宋" w:cs="仿宋"/>
          <w:sz w:val="24"/>
        </w:rPr>
      </w:pPr>
      <w:r>
        <w:rPr>
          <w:rFonts w:hint="eastAsia" w:ascii="仿宋" w:hAnsi="仿宋" w:eastAsia="仿宋" w:cs="仿宋"/>
          <w:sz w:val="24"/>
        </w:rPr>
        <w:t>（三）免租期</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6个月</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w:t>
      </w:r>
      <w:r>
        <w:rPr>
          <w:rFonts w:hint="eastAsia" w:ascii="仿宋" w:hAnsi="仿宋" w:eastAsia="仿宋" w:cs="仿宋"/>
          <w:sz w:val="24"/>
        </w:rPr>
        <w:t>。</w:t>
      </w:r>
    </w:p>
    <w:p w14:paraId="203F7290">
      <w:pPr>
        <w:adjustRightInd w:val="0"/>
        <w:spacing w:line="400" w:lineRule="exact"/>
        <w:ind w:firstLine="240" w:firstLineChars="100"/>
        <w:rPr>
          <w:rFonts w:ascii="仿宋" w:hAnsi="仿宋" w:eastAsia="仿宋" w:cs="仿宋"/>
          <w:color w:val="auto"/>
          <w:sz w:val="24"/>
        </w:rPr>
      </w:pPr>
      <w:r>
        <w:rPr>
          <w:rFonts w:hint="eastAsia" w:ascii="仿宋" w:hAnsi="仿宋" w:eastAsia="仿宋" w:cs="仿宋"/>
          <w:sz w:val="24"/>
        </w:rPr>
        <w:t>（四）租</w:t>
      </w:r>
      <w:r>
        <w:rPr>
          <w:rFonts w:hint="eastAsia" w:ascii="仿宋" w:hAnsi="仿宋" w:eastAsia="仿宋" w:cs="仿宋"/>
          <w:color w:val="auto"/>
          <w:sz w:val="24"/>
        </w:rPr>
        <w:t>金按</w:t>
      </w:r>
      <w:r>
        <w:rPr>
          <w:rFonts w:hint="eastAsia" w:ascii="仿宋" w:hAnsi="仿宋" w:eastAsia="仿宋" w:cs="仿宋"/>
          <w:color w:val="auto"/>
          <w:sz w:val="24"/>
          <w:u w:val="single"/>
        </w:rPr>
        <w:t xml:space="preserve"> 每月一次  </w:t>
      </w:r>
      <w:r>
        <w:rPr>
          <w:rFonts w:hint="eastAsia" w:ascii="仿宋" w:hAnsi="仿宋" w:eastAsia="仿宋" w:cs="仿宋"/>
          <w:color w:val="auto"/>
          <w:sz w:val="24"/>
        </w:rPr>
        <w:t>收取。</w:t>
      </w:r>
    </w:p>
    <w:p w14:paraId="258B3AAB">
      <w:pPr>
        <w:adjustRightInd w:val="0"/>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1.租金总额由</w:t>
      </w:r>
      <w:r>
        <w:rPr>
          <w:rFonts w:hint="eastAsia" w:ascii="仿宋" w:hAnsi="仿宋" w:eastAsia="仿宋" w:cs="仿宋"/>
          <w:color w:val="auto"/>
          <w:sz w:val="24"/>
          <w:u w:val="single"/>
        </w:rPr>
        <w:t xml:space="preserve"> 物业租金和场地租金 </w:t>
      </w:r>
      <w:r>
        <w:rPr>
          <w:rFonts w:hint="eastAsia" w:ascii="仿宋" w:hAnsi="仿宋" w:eastAsia="仿宋" w:cs="仿宋"/>
          <w:color w:val="auto"/>
          <w:sz w:val="24"/>
        </w:rPr>
        <w:t>构成，按</w:t>
      </w:r>
      <w:r>
        <w:rPr>
          <w:rFonts w:hint="eastAsia" w:ascii="仿宋" w:hAnsi="仿宋" w:eastAsia="仿宋" w:cs="仿宋"/>
          <w:color w:val="auto"/>
          <w:sz w:val="24"/>
          <w:u w:val="single"/>
          <w:lang w:val="en-US" w:eastAsia="zh-CN"/>
        </w:rPr>
        <w:t>物业31元/平方米/月；场地10元/平方米/月（不参与竞价）</w:t>
      </w:r>
      <w:r>
        <w:rPr>
          <w:rFonts w:hint="eastAsia" w:ascii="仿宋" w:hAnsi="仿宋" w:eastAsia="仿宋" w:cs="仿宋"/>
          <w:color w:val="auto"/>
          <w:sz w:val="24"/>
        </w:rPr>
        <w:t>起（以成交价为准）；</w:t>
      </w:r>
    </w:p>
    <w:p w14:paraId="28515B14">
      <w:pPr>
        <w:adjustRightInd w:val="0"/>
        <w:spacing w:line="400" w:lineRule="exact"/>
        <w:ind w:firstLine="480" w:firstLineChars="200"/>
        <w:rPr>
          <w:rFonts w:ascii="仿宋" w:hAnsi="仿宋" w:eastAsia="仿宋" w:cs="仿宋"/>
          <w:color w:val="auto"/>
          <w:sz w:val="24"/>
          <w:u w:val="single"/>
        </w:rPr>
      </w:pPr>
      <w:bookmarkStart w:id="7" w:name="_Toc391912317"/>
      <w:bookmarkStart w:id="8" w:name="_Toc391912294"/>
      <w:r>
        <w:rPr>
          <w:rFonts w:hint="eastAsia" w:ascii="仿宋" w:hAnsi="仿宋" w:eastAsia="仿宋" w:cs="仿宋"/>
          <w:color w:val="auto"/>
          <w:sz w:val="24"/>
        </w:rPr>
        <w:t>2.递增方式为：</w:t>
      </w:r>
      <w:r>
        <w:rPr>
          <w:rFonts w:hint="eastAsia" w:ascii="仿宋" w:hAnsi="仿宋" w:eastAsia="仿宋" w:cs="仿宋"/>
          <w:color w:val="auto"/>
          <w:sz w:val="24"/>
          <w:u w:val="single"/>
        </w:rPr>
        <w:t>合同租金自第</w:t>
      </w:r>
      <w:r>
        <w:rPr>
          <w:rFonts w:hint="eastAsia" w:ascii="仿宋" w:hAnsi="仿宋" w:eastAsia="仿宋" w:cs="仿宋"/>
          <w:color w:val="auto"/>
          <w:sz w:val="24"/>
          <w:u w:val="single"/>
          <w:lang w:val="en-US" w:eastAsia="zh-CN"/>
        </w:rPr>
        <w:t>37</w:t>
      </w:r>
      <w:r>
        <w:rPr>
          <w:rFonts w:hint="eastAsia" w:ascii="仿宋" w:hAnsi="仿宋" w:eastAsia="仿宋" w:cs="仿宋"/>
          <w:color w:val="auto"/>
          <w:sz w:val="24"/>
          <w:u w:val="single"/>
        </w:rPr>
        <w:t>个月起开始递增，每</w:t>
      </w:r>
      <w:r>
        <w:rPr>
          <w:rFonts w:hint="eastAsia" w:ascii="仿宋" w:hAnsi="仿宋" w:eastAsia="仿宋" w:cs="仿宋"/>
          <w:color w:val="auto"/>
          <w:sz w:val="24"/>
          <w:u w:val="single"/>
          <w:lang w:val="en-US" w:eastAsia="zh-CN"/>
        </w:rPr>
        <w:t>36</w:t>
      </w:r>
      <w:r>
        <w:rPr>
          <w:rFonts w:hint="eastAsia" w:ascii="仿宋" w:hAnsi="仿宋" w:eastAsia="仿宋" w:cs="仿宋"/>
          <w:color w:val="auto"/>
          <w:sz w:val="24"/>
          <w:u w:val="single"/>
        </w:rPr>
        <w:t>月递增一次，每次递增幅度为上期缴纳合同租金的</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w:t>
      </w:r>
    </w:p>
    <w:p w14:paraId="273D1AE5">
      <w:pPr>
        <w:adjustRightInd w:val="0"/>
        <w:snapToGrid w:val="0"/>
        <w:spacing w:line="400" w:lineRule="exact"/>
        <w:outlineLvl w:val="1"/>
        <w:rPr>
          <w:rFonts w:hint="eastAsia" w:ascii="仿宋" w:hAnsi="仿宋" w:eastAsia="仿宋" w:cs="仿宋"/>
          <w:b/>
          <w:bCs/>
          <w:color w:val="auto"/>
          <w:sz w:val="24"/>
        </w:rPr>
      </w:pPr>
      <w:r>
        <w:rPr>
          <w:rFonts w:hint="eastAsia" w:ascii="仿宋" w:hAnsi="仿宋" w:eastAsia="仿宋" w:cs="仿宋"/>
          <w:b/>
          <w:color w:val="auto"/>
          <w:sz w:val="24"/>
        </w:rPr>
        <w:t>四、</w:t>
      </w:r>
      <w:r>
        <w:rPr>
          <w:rFonts w:hint="eastAsia" w:ascii="仿宋" w:hAnsi="仿宋" w:eastAsia="仿宋" w:cs="仿宋"/>
          <w:b/>
          <w:bCs/>
          <w:color w:val="auto"/>
          <w:sz w:val="24"/>
        </w:rPr>
        <w:t>其他需要约定的事项</w:t>
      </w:r>
    </w:p>
    <w:p w14:paraId="1FFA05ED">
      <w:pPr>
        <w:adjustRightInd w:val="0"/>
        <w:snapToGrid w:val="0"/>
        <w:spacing w:line="500" w:lineRule="exact"/>
        <w:ind w:firstLine="720" w:firstLineChars="300"/>
        <w:outlineLvl w:val="1"/>
        <w:rPr>
          <w:rFonts w:ascii="楷体" w:hAnsi="楷体" w:eastAsia="楷体" w:cs="楷体"/>
          <w:bCs/>
          <w:sz w:val="24"/>
          <w:u w:val="single"/>
        </w:rPr>
      </w:pPr>
      <w:r>
        <w:rPr>
          <w:rFonts w:hint="eastAsia" w:ascii="楷体" w:hAnsi="楷体" w:eastAsia="楷体" w:cs="楷体"/>
          <w:bCs/>
          <w:color w:val="auto"/>
          <w:sz w:val="24"/>
          <w:u w:val="single"/>
        </w:rPr>
        <w:t>1、该租赁物业及场</w:t>
      </w:r>
      <w:r>
        <w:rPr>
          <w:rFonts w:hint="eastAsia" w:ascii="楷体" w:hAnsi="楷体" w:eastAsia="楷体" w:cs="楷体"/>
          <w:bCs/>
          <w:sz w:val="24"/>
          <w:u w:val="single"/>
        </w:rPr>
        <w:t>地计租面积为</w:t>
      </w:r>
      <w:r>
        <w:rPr>
          <w:rFonts w:hint="eastAsia" w:ascii="楷体" w:hAnsi="楷体" w:eastAsia="楷体" w:cs="楷体"/>
          <w:bCs/>
          <w:sz w:val="24"/>
          <w:u w:val="single"/>
          <w:lang w:val="en-US" w:eastAsia="zh-CN"/>
        </w:rPr>
        <w:t>22489.10</w:t>
      </w:r>
      <w:r>
        <w:rPr>
          <w:rFonts w:hint="eastAsia" w:ascii="楷体" w:hAnsi="楷体" w:eastAsia="楷体" w:cs="楷体"/>
          <w:bCs/>
          <w:sz w:val="24"/>
          <w:u w:val="single"/>
        </w:rPr>
        <w:t>平方米（其中：物业建筑面积：</w:t>
      </w:r>
      <w:r>
        <w:rPr>
          <w:rFonts w:hint="eastAsia" w:ascii="楷体" w:hAnsi="楷体" w:eastAsia="楷体" w:cs="楷体"/>
          <w:bCs/>
          <w:sz w:val="24"/>
          <w:u w:val="single"/>
          <w:lang w:val="en-US" w:eastAsia="zh-CN"/>
        </w:rPr>
        <w:t>17373.82</w:t>
      </w:r>
      <w:r>
        <w:rPr>
          <w:rFonts w:hint="eastAsia" w:ascii="楷体" w:hAnsi="楷体" w:eastAsia="楷体" w:cs="楷体"/>
          <w:bCs/>
          <w:sz w:val="24"/>
          <w:u w:val="single"/>
        </w:rPr>
        <w:t>平方米，场地面积：</w:t>
      </w:r>
      <w:r>
        <w:rPr>
          <w:rFonts w:hint="eastAsia" w:ascii="楷体" w:hAnsi="楷体" w:eastAsia="楷体" w:cs="楷体"/>
          <w:bCs/>
          <w:sz w:val="24"/>
          <w:u w:val="single"/>
          <w:lang w:val="en-US" w:eastAsia="zh-CN"/>
        </w:rPr>
        <w:t>5115.28</w:t>
      </w:r>
      <w:r>
        <w:rPr>
          <w:rFonts w:hint="eastAsia" w:ascii="楷体" w:hAnsi="楷体" w:eastAsia="楷体" w:cs="楷体"/>
          <w:bCs/>
          <w:sz w:val="24"/>
          <w:u w:val="single"/>
        </w:rPr>
        <w:t>平方米），任</w:t>
      </w:r>
      <w:r>
        <w:rPr>
          <w:rFonts w:hint="eastAsia" w:ascii="楷体" w:hAnsi="楷体" w:eastAsia="楷体" w:cs="楷体"/>
          <w:bCs/>
          <w:color w:val="auto"/>
          <w:sz w:val="24"/>
          <w:u w:val="single"/>
        </w:rPr>
        <w:t>何与面积相关的费用计算均应以此面积为准。</w:t>
      </w:r>
      <w:r>
        <w:rPr>
          <w:rFonts w:hint="eastAsia" w:ascii="楷体" w:hAnsi="楷体" w:eastAsia="楷体" w:cs="楷体"/>
          <w:bCs/>
          <w:sz w:val="24"/>
          <w:u w:val="single"/>
        </w:rPr>
        <w:t>如租赁合同约定之面积与实际交付面积存在误差的，则出租方不予退还合同租金，承租方也不用多缴误差之合同租金数额。承租方不得以此为由解除合同，否则视作承租方严重违约，出租方有权没收合同履约保证金。</w:t>
      </w:r>
    </w:p>
    <w:p w14:paraId="1B11E14E">
      <w:pPr>
        <w:adjustRightInd w:val="0"/>
        <w:snapToGrid w:val="0"/>
        <w:spacing w:line="500" w:lineRule="exact"/>
        <w:ind w:firstLine="720" w:firstLineChars="300"/>
        <w:outlineLvl w:val="1"/>
        <w:rPr>
          <w:rFonts w:hint="eastAsia" w:ascii="楷体" w:hAnsi="楷体" w:eastAsia="楷体" w:cs="楷体"/>
          <w:bCs/>
          <w:color w:val="auto"/>
          <w:sz w:val="24"/>
          <w:u w:val="single"/>
          <w:lang w:eastAsia="zh-CN"/>
        </w:rPr>
      </w:pPr>
      <w:r>
        <w:rPr>
          <w:rFonts w:hint="eastAsia" w:ascii="楷体" w:hAnsi="楷体" w:eastAsia="楷体" w:cs="楷体"/>
          <w:bCs/>
          <w:color w:val="auto"/>
          <w:sz w:val="24"/>
          <w:u w:val="single"/>
        </w:rPr>
        <w:t>2、</w:t>
      </w:r>
      <w:r>
        <w:rPr>
          <w:rFonts w:hint="eastAsia" w:ascii="楷体" w:hAnsi="楷体" w:eastAsia="楷体" w:cs="楷体"/>
          <w:bCs/>
          <w:color w:val="auto"/>
          <w:sz w:val="24"/>
          <w:u w:val="single"/>
          <w:lang w:val="en-US" w:eastAsia="zh-CN"/>
        </w:rPr>
        <w:t xml:space="preserve">出租方提供容量为1000kVA 的变压器一台及配套配电房，其余电力设备的铺设工作由承租方负责完成，由此产生的一切费用均由承租方自行承担。出租方提供给水表总表，原水管等设备可能存在老化等问题，若需重新铺设管道，相关工作由承租方负责，产生的一切费用亦由承租方自行承担。在合同到期或终止时，所有新铺设的水、电设备的所有权归出租方所有，承租方不得擅自拆除或破坏。 </w:t>
      </w:r>
      <w:r>
        <w:rPr>
          <w:rFonts w:hint="eastAsia" w:ascii="楷体" w:hAnsi="楷体" w:eastAsia="楷体" w:cs="楷体"/>
          <w:bCs/>
          <w:color w:val="auto"/>
          <w:sz w:val="24"/>
          <w:u w:val="single"/>
          <w:lang w:eastAsia="zh-CN"/>
        </w:rPr>
        <w:t>水、电</w:t>
      </w:r>
      <w:r>
        <w:rPr>
          <w:rFonts w:hint="eastAsia" w:ascii="楷体" w:hAnsi="楷体" w:eastAsia="楷体" w:cs="楷体"/>
          <w:bCs/>
          <w:color w:val="auto"/>
          <w:sz w:val="24"/>
          <w:u w:val="single"/>
          <w:lang w:val="en-US" w:eastAsia="zh-CN"/>
        </w:rPr>
        <w:t>费用</w:t>
      </w:r>
      <w:r>
        <w:rPr>
          <w:rFonts w:hint="eastAsia" w:ascii="楷体" w:hAnsi="楷体" w:eastAsia="楷体" w:cs="楷体"/>
          <w:bCs/>
          <w:color w:val="auto"/>
          <w:sz w:val="24"/>
          <w:u w:val="single"/>
        </w:rPr>
        <w:t>由承租方直接向供水、供电部门等相关部门缴纳。</w:t>
      </w:r>
    </w:p>
    <w:p w14:paraId="73638571">
      <w:pPr>
        <w:numPr>
          <w:ilvl w:val="0"/>
          <w:numId w:val="5"/>
        </w:numPr>
        <w:adjustRightInd w:val="0"/>
        <w:snapToGrid w:val="0"/>
        <w:spacing w:line="500" w:lineRule="exact"/>
        <w:ind w:firstLine="720" w:firstLineChars="300"/>
        <w:outlineLvl w:val="1"/>
        <w:rPr>
          <w:rFonts w:ascii="楷体" w:hAnsi="楷体" w:eastAsia="楷体" w:cs="楷体"/>
          <w:bCs/>
          <w:sz w:val="24"/>
          <w:u w:val="single"/>
        </w:rPr>
      </w:pPr>
      <w:r>
        <w:rPr>
          <w:rFonts w:hint="eastAsia" w:ascii="楷体" w:hAnsi="楷体" w:eastAsia="楷体" w:cs="楷体"/>
          <w:bCs/>
          <w:sz w:val="24"/>
          <w:u w:val="single"/>
        </w:rPr>
        <w:t>租赁物业及场地仅限用作商业用途，出租方按物业主体建筑结构及场地现状交付使用；承租方不得以非主体建筑结构竞投前和接收状况不同为由单方解除合同或拖欠合同租金等行为，否则视为承租方严重违约，出租方有权追究承租方的违约责任。</w:t>
      </w:r>
    </w:p>
    <w:p w14:paraId="72D04849">
      <w:pPr>
        <w:adjustRightInd w:val="0"/>
        <w:snapToGrid w:val="0"/>
        <w:spacing w:line="500" w:lineRule="exact"/>
        <w:ind w:firstLine="480" w:firstLineChars="200"/>
        <w:outlineLvl w:val="1"/>
        <w:rPr>
          <w:rFonts w:ascii="楷体" w:hAnsi="楷体" w:eastAsia="楷体" w:cs="楷体"/>
          <w:bCs/>
          <w:sz w:val="24"/>
          <w:u w:val="single"/>
        </w:rPr>
      </w:pPr>
      <w:r>
        <w:rPr>
          <w:rFonts w:hint="eastAsia" w:ascii="楷体" w:hAnsi="楷体" w:eastAsia="楷体" w:cs="楷体"/>
          <w:bCs/>
          <w:sz w:val="24"/>
          <w:u w:val="single"/>
        </w:rPr>
        <w:t>承租方不得改变租赁物业、场地及其附属设施用途、性质和主体建筑结构、不得乱搭建、私自兴建、扩建、加建建筑物等；不得经营易燃易爆、噪音污染、“散、乱、污”等项目；擅自改变用途和性质的，引起的违法行为、人身安全、财产损失等刑事、行政处罚和经济损失均由承租方自行承担；造成出租方权益受损的，出租方有权单方解除合同，没收合同履约保证金，已收取的合同租金不予退还，并无偿收回租赁物业及场地（包括但不限于合法合规增设建（构）筑物及报装的各类附属设施）（如有），作承租方违约处理，并依法追讨因此造成出租方的经济损失。</w:t>
      </w:r>
    </w:p>
    <w:p w14:paraId="116AB3D3">
      <w:pPr>
        <w:adjustRightInd w:val="0"/>
        <w:snapToGrid w:val="0"/>
        <w:spacing w:line="500" w:lineRule="exact"/>
        <w:ind w:firstLine="720" w:firstLineChars="300"/>
        <w:outlineLvl w:val="1"/>
        <w:rPr>
          <w:rFonts w:ascii="楷体" w:hAnsi="楷体" w:eastAsia="楷体" w:cs="楷体"/>
          <w:bCs/>
          <w:sz w:val="24"/>
          <w:u w:val="single"/>
        </w:rPr>
      </w:pPr>
      <w:r>
        <w:rPr>
          <w:rFonts w:hint="eastAsia" w:ascii="楷体" w:hAnsi="楷体" w:eastAsia="楷体" w:cs="楷体"/>
          <w:bCs/>
          <w:color w:val="auto"/>
          <w:sz w:val="24"/>
          <w:u w:val="single"/>
        </w:rPr>
        <w:t>4、承租方须获得出租方的书面同意后方能对标的物业进行装修、改造；如增设建</w:t>
      </w:r>
      <w:r>
        <w:rPr>
          <w:rFonts w:hint="eastAsia" w:ascii="楷体" w:hAnsi="楷体" w:eastAsia="楷体" w:cs="楷体"/>
          <w:bCs/>
          <w:sz w:val="24"/>
          <w:u w:val="single"/>
        </w:rPr>
        <w:t>（构）筑物、加装电梯、报装消防设备等需向有关部门申请，产生的一切费用、所需的政府文件、手续均由承租方自行承担，并获得相关部门许可后方可进行。若承租人违反上述约定，则视为承租方严重违约，出租方有权单方解除合同，没收合同履约保证金，并追究承租方的违约责任。如施工过程中引起的人身、财产损失由承租方自行承担赔偿责任，造成出租方原物业毁损的由承租方承担赔偿责任。承租方包括但不限于合法合规增设建（构）筑物及报装的各类附属设施的所有权均无偿归出租方所有；租赁期满，出租方有权要求承租方按物业现状无偿交还或恢复物业原状、拆除增设建（构）筑物，承租方应无条件配合，如产生恢复原状之费用则由承租方承担。</w:t>
      </w:r>
    </w:p>
    <w:p w14:paraId="0440537F">
      <w:pPr>
        <w:adjustRightInd w:val="0"/>
        <w:snapToGrid w:val="0"/>
        <w:spacing w:line="500" w:lineRule="exact"/>
        <w:ind w:firstLine="720" w:firstLineChars="300"/>
        <w:outlineLvl w:val="1"/>
        <w:rPr>
          <w:rFonts w:ascii="楷体" w:hAnsi="楷体" w:eastAsia="楷体" w:cs="楷体"/>
          <w:bCs/>
          <w:sz w:val="24"/>
          <w:u w:val="single"/>
        </w:rPr>
      </w:pPr>
      <w:r>
        <w:rPr>
          <w:rFonts w:hint="eastAsia" w:ascii="楷体" w:hAnsi="楷体" w:eastAsia="楷体" w:cs="楷体"/>
          <w:bCs/>
          <w:sz w:val="24"/>
          <w:u w:val="single"/>
          <w:lang w:val="en-US" w:eastAsia="zh-CN"/>
        </w:rPr>
        <w:t>5</w:t>
      </w:r>
      <w:r>
        <w:rPr>
          <w:rFonts w:hint="eastAsia" w:ascii="楷体" w:hAnsi="楷体" w:eastAsia="楷体" w:cs="楷体"/>
          <w:bCs/>
          <w:sz w:val="24"/>
          <w:u w:val="single"/>
        </w:rPr>
        <w:t>、如遇执法部门进行检查、整改、处罚、停产、拆除违建等执法行为，由承租方引起的责任由承租方自行承担，并承担由此产生的一切后果，承租方必须继续履行签订合同的一切条款；若承租人的经营行为被行政执法部门查处后，未能按时改正或其行为涉嫌犯罪（被刑事立案）的，则视为承租方严重违约，出租方有权立即单方解除合同，无偿收回物业及场地（包括已搭建、兴建、加建建筑物等），没收合同履约保证金，已收取的合同总租金不予退还，要求承租方付清所有欠费，若造成出租方损失的，承租方应承担赔偿责任；</w:t>
      </w:r>
    </w:p>
    <w:p w14:paraId="284B275E">
      <w:pPr>
        <w:adjustRightInd w:val="0"/>
        <w:snapToGrid w:val="0"/>
        <w:spacing w:line="500" w:lineRule="exact"/>
        <w:ind w:firstLine="720" w:firstLineChars="300"/>
        <w:outlineLvl w:val="1"/>
        <w:rPr>
          <w:rFonts w:ascii="楷体" w:hAnsi="楷体" w:eastAsia="楷体" w:cs="楷体"/>
          <w:bCs/>
          <w:sz w:val="24"/>
          <w:u w:val="single"/>
        </w:rPr>
      </w:pPr>
      <w:r>
        <w:rPr>
          <w:rFonts w:hint="eastAsia" w:ascii="楷体" w:hAnsi="楷体" w:eastAsia="楷体" w:cs="楷体"/>
          <w:bCs/>
          <w:sz w:val="24"/>
          <w:u w:val="single"/>
        </w:rPr>
        <w:t>如遇政府行为需要全部或部分拆除或其它原因不允许出租经营的，造成双方无法继续履行合同的，承租方应当在有关部门要求拆除的期限前搬迁完毕，合同自行终止，双方损失自负，互不作赔偿和补偿，均不作违约处理。</w:t>
      </w:r>
    </w:p>
    <w:p w14:paraId="0623FDE2">
      <w:pPr>
        <w:adjustRightInd w:val="0"/>
        <w:snapToGrid w:val="0"/>
        <w:spacing w:line="500" w:lineRule="exact"/>
        <w:ind w:firstLine="720" w:firstLineChars="300"/>
        <w:outlineLvl w:val="1"/>
        <w:rPr>
          <w:rFonts w:ascii="楷体" w:hAnsi="楷体" w:eastAsia="楷体" w:cs="楷体"/>
          <w:bCs/>
          <w:sz w:val="24"/>
          <w:u w:val="single"/>
        </w:rPr>
      </w:pPr>
      <w:r>
        <w:rPr>
          <w:rFonts w:hint="eastAsia" w:ascii="楷体" w:hAnsi="楷体" w:eastAsia="楷体" w:cs="楷体"/>
          <w:bCs/>
          <w:sz w:val="24"/>
          <w:u w:val="single"/>
          <w:lang w:val="en-US" w:eastAsia="zh-CN"/>
        </w:rPr>
        <w:t>6</w:t>
      </w:r>
      <w:r>
        <w:rPr>
          <w:rFonts w:hint="eastAsia" w:ascii="楷体" w:hAnsi="楷体" w:eastAsia="楷体" w:cs="楷体"/>
          <w:bCs/>
          <w:sz w:val="24"/>
          <w:u w:val="single"/>
        </w:rPr>
        <w:t>、合同租赁期满或因故终止时，承租方应在届满或终止之日，按物业、场地及附属设施正常使用现状（包括但不限于物业及地上原有或加建的全部建筑物等）无偿交还给出租方；如承租方故意毁坏的，需按评估价赔偿给出租方；如出租方要求恢复原状、拆除增建建筑物交还的，产生的相关费用亦由承租方承担，承租方应无条件履行。</w:t>
      </w:r>
    </w:p>
    <w:p w14:paraId="35ADBF7D">
      <w:pPr>
        <w:adjustRightInd w:val="0"/>
        <w:snapToGrid w:val="0"/>
        <w:spacing w:line="500" w:lineRule="exact"/>
        <w:ind w:firstLine="720" w:firstLineChars="300"/>
        <w:outlineLvl w:val="1"/>
        <w:rPr>
          <w:rFonts w:ascii="楷体" w:hAnsi="楷体" w:eastAsia="楷体" w:cs="楷体"/>
          <w:bCs/>
          <w:sz w:val="24"/>
          <w:u w:val="single"/>
        </w:rPr>
      </w:pPr>
      <w:r>
        <w:rPr>
          <w:rFonts w:hint="eastAsia" w:ascii="楷体" w:hAnsi="楷体" w:eastAsia="楷体" w:cs="楷体"/>
          <w:bCs/>
          <w:sz w:val="24"/>
          <w:u w:val="single"/>
          <w:lang w:val="en-US" w:eastAsia="zh-CN"/>
        </w:rPr>
        <w:t>7</w:t>
      </w:r>
      <w:r>
        <w:rPr>
          <w:rFonts w:hint="eastAsia" w:ascii="楷体" w:hAnsi="楷体" w:eastAsia="楷体" w:cs="楷体"/>
          <w:bCs/>
          <w:sz w:val="24"/>
          <w:u w:val="single"/>
        </w:rPr>
        <w:t>、该租赁物业及场地已被（意向）纳入城中村改造片区，如遇政府收储或城中村改造需要征收、征用、提前收回物业及场地（包括但不限于物业及地上原有或加建的全部建筑物、果树、林木等）时，承租方应在接到出租方书面通知的一个月内无条件配合出租方办理一切征收、征用手续，无偿交还租赁物业及场地，双方损失自负，均不作违约，合同自然终止。合同总租金计付至实际交还物业及场地之日。有关补偿问题，由出租方与征地单位协商，如有补偿，经出租方主管部门按规定提留后，所得的补偿（包括但不限于征地款、土地补偿费、安置补助金、地上原有或加建建筑物及设施补偿费、青苗补偿费等）全部归出租方所有，出租方不对承租方（包括但不限于生产经营、人员遣散、加建建筑物、果树、林木等）的损失作任何补偿和赔偿；如有复建面积补偿的，其补偿归出租方所有；出租方不计利息退还提前收取但未使用的合同总租金给承租方，不作出租方违约。</w:t>
      </w:r>
    </w:p>
    <w:p w14:paraId="5E0526D6">
      <w:pPr>
        <w:adjustRightInd w:val="0"/>
        <w:snapToGrid w:val="0"/>
        <w:spacing w:line="500" w:lineRule="exact"/>
        <w:ind w:firstLine="720" w:firstLineChars="300"/>
        <w:outlineLvl w:val="1"/>
        <w:rPr>
          <w:rFonts w:ascii="楷体" w:hAnsi="楷体" w:eastAsia="楷体" w:cs="楷体"/>
          <w:bCs/>
          <w:sz w:val="24"/>
          <w:u w:val="single"/>
        </w:rPr>
      </w:pPr>
      <w:r>
        <w:rPr>
          <w:rFonts w:hint="eastAsia" w:ascii="楷体" w:hAnsi="楷体" w:eastAsia="楷体" w:cs="楷体"/>
          <w:bCs/>
          <w:sz w:val="24"/>
          <w:u w:val="single"/>
          <w:lang w:val="en-US" w:eastAsia="zh-CN"/>
        </w:rPr>
        <w:t>8</w:t>
      </w:r>
      <w:r>
        <w:rPr>
          <w:rFonts w:hint="eastAsia" w:ascii="楷体" w:hAnsi="楷体" w:eastAsia="楷体" w:cs="楷体"/>
          <w:bCs/>
          <w:sz w:val="24"/>
          <w:u w:val="single"/>
        </w:rPr>
        <w:t>、租赁物业中部分持有《集体土地房产证》、场地持有《集体土地所有证》，但未取得政府部门颁发的建设工程规划许可证和消防备案等证照，其用途也未取得相关政府部门的证照及未办理相关手续。承租人已于报名竞投和租赁前对交易物业、场地及其附属物的现状包括产权、证照手续、使用性质、诉讼风险等上述情况作充分了解，并同意按现状参与竞投和承租。出租方不保证租赁物业、场地及其附属物使用必定符合承租方的经营所需或全部交付使用。承租方自行办理本租赁物业及场地的工商证照、消防备案等手续及费用，如无法取得本租赁物业及场地之用途的相关营业证照、办理相关经营手续的责任和损失均由承租方自行承担，承租方不得以此为由拒签合同、单方解除合同或拖欠合同租金等行为，否则视为承租方严重违约，出租方有权按照合同条款追究承租方的违约责任。</w:t>
      </w:r>
    </w:p>
    <w:p w14:paraId="22EA708D">
      <w:pPr>
        <w:adjustRightInd w:val="0"/>
        <w:snapToGrid w:val="0"/>
        <w:spacing w:line="500" w:lineRule="exact"/>
        <w:ind w:firstLine="720" w:firstLineChars="300"/>
        <w:outlineLvl w:val="1"/>
        <w:rPr>
          <w:rFonts w:ascii="楷体" w:hAnsi="楷体" w:eastAsia="楷体" w:cs="楷体"/>
          <w:bCs/>
          <w:sz w:val="24"/>
          <w:u w:val="single"/>
        </w:rPr>
      </w:pPr>
      <w:r>
        <w:rPr>
          <w:rFonts w:hint="eastAsia" w:ascii="楷体" w:hAnsi="楷体" w:eastAsia="楷体" w:cs="楷体"/>
          <w:bCs/>
          <w:sz w:val="24"/>
          <w:u w:val="single"/>
          <w:lang w:val="en-US" w:eastAsia="zh-CN"/>
        </w:rPr>
        <w:t>9</w:t>
      </w:r>
      <w:r>
        <w:rPr>
          <w:rFonts w:hint="eastAsia" w:ascii="楷体" w:hAnsi="楷体" w:eastAsia="楷体" w:cs="楷体"/>
          <w:bCs/>
          <w:sz w:val="24"/>
          <w:u w:val="single"/>
        </w:rPr>
        <w:t>、如本合同因产权问题、使用性质或其它原因被认定无效的，出租方仍有权要求承租方支付物业及场地的占用费（占用费按本合同中有关合同总租金的约定为计算标准）；如有违约行为，双方愿意按相关条款接受处罚。</w:t>
      </w:r>
    </w:p>
    <w:p w14:paraId="5E889331">
      <w:pPr>
        <w:adjustRightInd w:val="0"/>
        <w:snapToGrid w:val="0"/>
        <w:spacing w:line="500" w:lineRule="exact"/>
        <w:ind w:firstLine="720" w:firstLineChars="300"/>
        <w:outlineLvl w:val="1"/>
        <w:rPr>
          <w:rFonts w:ascii="楷体" w:hAnsi="楷体" w:eastAsia="楷体" w:cs="楷体"/>
          <w:bCs/>
          <w:sz w:val="24"/>
          <w:u w:val="single"/>
        </w:rPr>
      </w:pPr>
      <w:r>
        <w:rPr>
          <w:rFonts w:hint="eastAsia" w:ascii="楷体" w:hAnsi="楷体" w:eastAsia="楷体" w:cs="楷体"/>
          <w:bCs/>
          <w:sz w:val="24"/>
          <w:u w:val="single"/>
        </w:rPr>
        <w:t>1</w:t>
      </w:r>
      <w:r>
        <w:rPr>
          <w:rFonts w:hint="eastAsia" w:ascii="楷体" w:hAnsi="楷体" w:eastAsia="楷体" w:cs="楷体"/>
          <w:bCs/>
          <w:sz w:val="24"/>
          <w:u w:val="single"/>
          <w:lang w:val="en-US" w:eastAsia="zh-CN"/>
        </w:rPr>
        <w:t>0</w:t>
      </w:r>
      <w:r>
        <w:rPr>
          <w:rFonts w:hint="eastAsia" w:ascii="楷体" w:hAnsi="楷体" w:eastAsia="楷体" w:cs="楷体"/>
          <w:bCs/>
          <w:sz w:val="24"/>
          <w:u w:val="single"/>
        </w:rPr>
        <w:t>、承租方的通信地址以签订的租赁合同上提供的地址为确认的、可寄达地址。如承租方变更地址或联系方式，须及时以书面并盖章或签名的方式告知出租方，否则视为未变更地址或联系方式；有关履行租赁合同相关事宜的通知、信函、文件、司法文书等，出租方有权按照上述确认地址或联系方式以快递或者挂号信等形式告知。如非因出租方原因导致邮件退回，则邮件退回之日则视为已送达承租方。</w:t>
      </w:r>
    </w:p>
    <w:p w14:paraId="23CF3BA9">
      <w:pPr>
        <w:adjustRightInd w:val="0"/>
        <w:snapToGrid w:val="0"/>
        <w:spacing w:line="500" w:lineRule="exact"/>
        <w:ind w:firstLine="720" w:firstLineChars="300"/>
        <w:outlineLvl w:val="1"/>
        <w:rPr>
          <w:rFonts w:hint="eastAsia" w:ascii="楷体" w:hAnsi="楷体" w:eastAsia="楷体" w:cs="楷体"/>
          <w:bCs/>
          <w:sz w:val="24"/>
          <w:u w:val="single"/>
        </w:rPr>
      </w:pPr>
      <w:r>
        <w:rPr>
          <w:rFonts w:hint="eastAsia" w:ascii="楷体" w:hAnsi="楷体" w:eastAsia="楷体" w:cs="楷体"/>
          <w:bCs/>
          <w:sz w:val="24"/>
          <w:u w:val="single"/>
        </w:rPr>
        <w:t>1</w:t>
      </w:r>
      <w:r>
        <w:rPr>
          <w:rFonts w:hint="eastAsia" w:ascii="楷体" w:hAnsi="楷体" w:eastAsia="楷体" w:cs="楷体"/>
          <w:bCs/>
          <w:sz w:val="24"/>
          <w:u w:val="single"/>
          <w:lang w:val="en-US" w:eastAsia="zh-CN"/>
        </w:rPr>
        <w:t>1</w:t>
      </w:r>
      <w:r>
        <w:rPr>
          <w:rFonts w:hint="eastAsia" w:ascii="楷体" w:hAnsi="楷体" w:eastAsia="楷体" w:cs="楷体"/>
          <w:bCs/>
          <w:sz w:val="24"/>
          <w:u w:val="single"/>
        </w:rPr>
        <w:t>、租赁期内，承租方为租赁物业消防、安全生产第一责任人，如发生人身伤亡和财产损失等消防、安全事故的，承租方需承担全部经济和法律责任。承租方必须做好消防、安全生产工作，并按相关职能部门的要求设置相应消防设备，不得有封锁或堆放杂物等堵塞消防通道的行为。出租方不承诺也不保证租赁物业现有的消防设备能满足承租方使用需求或相关职能部门规定，承租方必须自行办理相关消防证照并承担因此产生一切费用。</w:t>
      </w:r>
    </w:p>
    <w:p w14:paraId="0BF97F47">
      <w:pPr>
        <w:adjustRightInd w:val="0"/>
        <w:snapToGrid w:val="0"/>
        <w:spacing w:line="500" w:lineRule="exact"/>
        <w:ind w:firstLine="720" w:firstLineChars="300"/>
        <w:outlineLvl w:val="1"/>
        <w:rPr>
          <w:rFonts w:ascii="楷体" w:hAnsi="楷体" w:eastAsia="楷体" w:cs="楷体"/>
          <w:bCs/>
          <w:color w:val="auto"/>
          <w:sz w:val="24"/>
          <w:u w:val="single"/>
        </w:rPr>
      </w:pPr>
      <w:r>
        <w:rPr>
          <w:rFonts w:hint="eastAsia" w:ascii="楷体" w:hAnsi="楷体" w:eastAsia="楷体" w:cs="楷体"/>
          <w:bCs/>
          <w:sz w:val="24"/>
          <w:u w:val="single"/>
        </w:rPr>
        <w:t>1</w:t>
      </w:r>
      <w:r>
        <w:rPr>
          <w:rFonts w:hint="eastAsia" w:ascii="楷体" w:hAnsi="楷体" w:eastAsia="楷体" w:cs="楷体"/>
          <w:bCs/>
          <w:sz w:val="24"/>
          <w:u w:val="single"/>
          <w:lang w:val="en-US" w:eastAsia="zh-CN"/>
        </w:rPr>
        <w:t>2</w:t>
      </w:r>
      <w:r>
        <w:rPr>
          <w:rFonts w:hint="eastAsia" w:ascii="楷体" w:hAnsi="楷体" w:eastAsia="楷体" w:cs="楷体"/>
          <w:bCs/>
          <w:sz w:val="24"/>
          <w:u w:val="single"/>
        </w:rPr>
        <w:t>、竞投人成功竞得的，若未在竞得后2个工作日内携带相关资料到天河区农村集体资产交易中心签订纸质网上交易平台服务协议及广州市天河区农村集体资产交易确认书的，或在竞投结果公示结束后5个工作日内，因竞得人原因，未与项目业主单位签订合同的</w:t>
      </w:r>
      <w:r>
        <w:rPr>
          <w:rFonts w:hint="eastAsia" w:ascii="楷体" w:hAnsi="楷体" w:eastAsia="楷体" w:cs="楷体"/>
          <w:bCs/>
          <w:color w:val="auto"/>
          <w:sz w:val="24"/>
          <w:u w:val="single"/>
        </w:rPr>
        <w:t>，均视为自动放弃竞得资格，</w:t>
      </w:r>
      <w:r>
        <w:rPr>
          <w:rFonts w:hint="eastAsia" w:ascii="楷体" w:hAnsi="楷体" w:eastAsia="楷体" w:cs="楷体"/>
          <w:bCs/>
          <w:sz w:val="24"/>
          <w:u w:val="single"/>
        </w:rPr>
        <w:t>其以银行转账方式交纳的交易保证金</w:t>
      </w:r>
      <w:r>
        <w:rPr>
          <w:rFonts w:hint="eastAsia" w:ascii="楷体" w:hAnsi="楷体" w:eastAsia="楷体" w:cs="楷体"/>
          <w:bCs/>
          <w:color w:val="auto"/>
          <w:sz w:val="24"/>
          <w:u w:val="single"/>
        </w:rPr>
        <w:t>3</w:t>
      </w:r>
      <w:r>
        <w:rPr>
          <w:rFonts w:hint="eastAsia" w:ascii="楷体" w:hAnsi="楷体" w:eastAsia="楷体" w:cs="楷体"/>
          <w:bCs/>
          <w:color w:val="auto"/>
          <w:sz w:val="24"/>
          <w:u w:val="single"/>
          <w:lang w:val="en-US" w:eastAsia="zh-CN"/>
        </w:rPr>
        <w:t>0</w:t>
      </w:r>
      <w:r>
        <w:rPr>
          <w:rFonts w:hint="eastAsia" w:ascii="楷体" w:hAnsi="楷体" w:eastAsia="楷体" w:cs="楷体"/>
          <w:bCs/>
          <w:color w:val="auto"/>
          <w:sz w:val="24"/>
          <w:u w:val="single"/>
        </w:rPr>
        <w:t>00000元（大写：叁佰万元整</w:t>
      </w:r>
      <w:r>
        <w:rPr>
          <w:rFonts w:hint="eastAsia" w:ascii="楷体" w:hAnsi="楷体" w:eastAsia="楷体" w:cs="楷体"/>
          <w:bCs/>
          <w:color w:val="auto"/>
          <w:sz w:val="24"/>
          <w:u w:val="single"/>
          <w:lang w:eastAsia="zh-CN"/>
        </w:rPr>
        <w:t>）</w:t>
      </w:r>
      <w:r>
        <w:rPr>
          <w:rFonts w:hint="eastAsia" w:ascii="楷体" w:hAnsi="楷体" w:eastAsia="楷体" w:cs="楷体"/>
          <w:bCs/>
          <w:sz w:val="24"/>
          <w:u w:val="single"/>
        </w:rPr>
        <w:t>将由交易中心一次性全额不计息转交给出租方，出租方将对交易保证金作全额没收处理</w:t>
      </w:r>
      <w:r>
        <w:rPr>
          <w:rFonts w:hint="eastAsia" w:ascii="楷体" w:hAnsi="楷体" w:eastAsia="楷体" w:cs="楷体"/>
          <w:bCs/>
          <w:sz w:val="24"/>
          <w:u w:val="single"/>
          <w:lang w:val="en-US" w:eastAsia="zh-CN"/>
        </w:rPr>
        <w:t>；</w:t>
      </w:r>
      <w:r>
        <w:rPr>
          <w:rFonts w:hint="eastAsia" w:ascii="楷体" w:hAnsi="楷体" w:eastAsia="楷体" w:cs="楷体"/>
          <w:b/>
          <w:bCs w:val="0"/>
          <w:sz w:val="24"/>
          <w:u w:val="single"/>
        </w:rPr>
        <w:t>其以银行保函方式交纳的交易保证金由交易中心向开立保函的保函承保机构提交书面《索赔通知书》，要求保函开立保函承保机构足额履行其担保责任项下的款项支付义务，并将款项付入项目业主单位，由项目业主单位予以没收处理。</w:t>
      </w:r>
    </w:p>
    <w:p w14:paraId="3290C952">
      <w:pPr>
        <w:adjustRightInd w:val="0"/>
        <w:snapToGrid w:val="0"/>
        <w:spacing w:line="500" w:lineRule="exact"/>
        <w:ind w:firstLine="720" w:firstLineChars="300"/>
        <w:outlineLvl w:val="1"/>
        <w:rPr>
          <w:rFonts w:hint="eastAsia" w:ascii="楷体" w:hAnsi="楷体" w:eastAsia="楷体" w:cs="楷体"/>
          <w:bCs/>
          <w:sz w:val="24"/>
          <w:u w:val="single"/>
        </w:rPr>
      </w:pPr>
      <w:r>
        <w:rPr>
          <w:rFonts w:hint="eastAsia" w:ascii="楷体" w:hAnsi="楷体" w:eastAsia="楷体" w:cs="楷体"/>
          <w:bCs/>
          <w:color w:val="auto"/>
          <w:sz w:val="24"/>
          <w:u w:val="single"/>
        </w:rPr>
        <w:t>1</w:t>
      </w:r>
      <w:r>
        <w:rPr>
          <w:rFonts w:hint="eastAsia" w:ascii="楷体" w:hAnsi="楷体" w:eastAsia="楷体" w:cs="楷体"/>
          <w:bCs/>
          <w:color w:val="auto"/>
          <w:sz w:val="24"/>
          <w:u w:val="single"/>
          <w:lang w:val="en-US" w:eastAsia="zh-CN"/>
        </w:rPr>
        <w:t>3</w:t>
      </w:r>
      <w:r>
        <w:rPr>
          <w:rFonts w:hint="eastAsia" w:ascii="楷体" w:hAnsi="楷体" w:eastAsia="楷体" w:cs="楷体"/>
          <w:bCs/>
          <w:color w:val="auto"/>
          <w:sz w:val="24"/>
          <w:u w:val="single"/>
        </w:rPr>
        <w:t>、竞得人应于合同签订前将合同履约保证金人民币</w:t>
      </w:r>
      <w:r>
        <w:rPr>
          <w:rFonts w:hint="eastAsia" w:ascii="楷体" w:hAnsi="楷体" w:eastAsia="楷体" w:cs="楷体"/>
          <w:bCs/>
          <w:color w:val="auto"/>
          <w:sz w:val="24"/>
          <w:u w:val="single"/>
          <w:lang w:val="en-US" w:eastAsia="zh-CN"/>
        </w:rPr>
        <w:t>3500000元（大写：叁佰伍拾万元整）</w:t>
      </w:r>
      <w:r>
        <w:rPr>
          <w:rFonts w:hint="eastAsia" w:ascii="楷体" w:hAnsi="楷体" w:eastAsia="楷体" w:cs="楷体"/>
          <w:bCs/>
          <w:color w:val="auto"/>
          <w:sz w:val="24"/>
          <w:u w:val="single"/>
        </w:rPr>
        <w:t>及</w:t>
      </w:r>
      <w:r>
        <w:rPr>
          <w:rFonts w:hint="eastAsia" w:ascii="楷体" w:hAnsi="楷体" w:eastAsia="楷体" w:cs="楷体"/>
          <w:bCs/>
          <w:color w:val="auto"/>
          <w:sz w:val="24"/>
          <w:u w:val="single"/>
          <w:lang w:eastAsia="zh-CN"/>
        </w:rPr>
        <w:t>首</w:t>
      </w:r>
      <w:r>
        <w:rPr>
          <w:rFonts w:hint="eastAsia" w:ascii="楷体" w:hAnsi="楷体" w:eastAsia="楷体" w:cs="楷体"/>
          <w:bCs/>
          <w:sz w:val="24"/>
          <w:u w:val="single"/>
        </w:rPr>
        <w:t>月租金(以成交价为准）缴交至业主单位指定账户（详见合同指导文本），方能签订合同；如竞得人未能全额缴交上述费用的，则视为因竞得人原因，未与项目业主单位签订合同自动放弃竞得资格，其以银行转账方式交纳的交易保证金将由交易服务机构一次性全额不计息转交给项目业主单位，由项目业主单位予以没收处理</w:t>
      </w:r>
      <w:r>
        <w:rPr>
          <w:rFonts w:hint="eastAsia" w:ascii="楷体" w:hAnsi="楷体" w:eastAsia="楷体" w:cs="楷体"/>
          <w:bCs/>
          <w:sz w:val="24"/>
          <w:u w:val="single"/>
          <w:lang w:val="en-US" w:eastAsia="zh-CN"/>
        </w:rPr>
        <w:t>；</w:t>
      </w:r>
      <w:r>
        <w:rPr>
          <w:rFonts w:hint="eastAsia" w:ascii="楷体" w:hAnsi="楷体" w:eastAsia="楷体" w:cs="楷体"/>
          <w:b/>
          <w:bCs w:val="0"/>
          <w:sz w:val="24"/>
          <w:u w:val="single"/>
        </w:rPr>
        <w:t>其以银行保函方式交纳的交易保证金由天河区农村集体资产交易中心向开立保函的保函承保机构提交书面《索赔通知书》，要求保函开立保函承保机构足额履行其担保责任项下的款项支付义务，并将款项付入项目业主单位，由项目业主单位予以没收处理。</w:t>
      </w:r>
    </w:p>
    <w:p w14:paraId="20E7D692">
      <w:pPr>
        <w:adjustRightInd w:val="0"/>
        <w:spacing w:line="500" w:lineRule="exact"/>
        <w:ind w:firstLine="720" w:firstLineChars="300"/>
        <w:rPr>
          <w:rFonts w:hint="eastAsia" w:ascii="楷体" w:hAnsi="楷体" w:eastAsia="楷体" w:cs="楷体"/>
          <w:b/>
          <w:bCs w:val="0"/>
          <w:sz w:val="24"/>
          <w:u w:val="single"/>
        </w:rPr>
      </w:pPr>
      <w:r>
        <w:rPr>
          <w:rFonts w:hint="eastAsia" w:ascii="楷体" w:hAnsi="楷体" w:eastAsia="楷体" w:cs="楷体"/>
          <w:bCs/>
          <w:sz w:val="24"/>
          <w:u w:val="single"/>
        </w:rPr>
        <w:t>1</w:t>
      </w:r>
      <w:r>
        <w:rPr>
          <w:rFonts w:hint="eastAsia" w:ascii="楷体" w:hAnsi="楷体" w:eastAsia="楷体" w:cs="楷体"/>
          <w:bCs/>
          <w:sz w:val="24"/>
          <w:u w:val="single"/>
          <w:lang w:val="en-US" w:eastAsia="zh-CN"/>
        </w:rPr>
        <w:t>4</w:t>
      </w:r>
      <w:r>
        <w:rPr>
          <w:rFonts w:hint="eastAsia" w:ascii="楷体" w:hAnsi="楷体" w:eastAsia="楷体" w:cs="楷体"/>
          <w:bCs/>
          <w:sz w:val="24"/>
          <w:u w:val="single"/>
        </w:rPr>
        <w:t>、交易保证金不转为合同履约保证金，在业主单位和竞得人成功签订合同后，以银行转账方式交纳的交易保证金，交易保证金在合同签订后5个工作日内一次性全额不计利息返还；</w:t>
      </w:r>
      <w:r>
        <w:rPr>
          <w:rFonts w:hint="eastAsia" w:ascii="楷体" w:hAnsi="楷体" w:eastAsia="楷体" w:cs="楷体"/>
          <w:b/>
          <w:bCs w:val="0"/>
          <w:sz w:val="24"/>
          <w:u w:val="single"/>
        </w:rPr>
        <w:t>以银行保函方式交纳的交易保证金，在合同签订后5个工作日内到天河区农村集体资产交易中心领取保函正本原件和《天河区农村集体资产公开竞投交易保证金保函解除凭据》，并自行前往保函开立机构解除。</w:t>
      </w:r>
    </w:p>
    <w:p w14:paraId="33336EAF">
      <w:pPr>
        <w:adjustRightInd w:val="0"/>
        <w:spacing w:line="500" w:lineRule="exact"/>
        <w:ind w:firstLine="720" w:firstLineChars="300"/>
        <w:rPr>
          <w:rFonts w:hint="eastAsia" w:ascii="楷体" w:hAnsi="楷体" w:eastAsia="楷体" w:cs="楷体"/>
          <w:bCs/>
          <w:color w:val="auto"/>
          <w:sz w:val="24"/>
          <w:u w:val="single"/>
        </w:rPr>
      </w:pPr>
      <w:r>
        <w:rPr>
          <w:rFonts w:hint="eastAsia" w:ascii="楷体" w:hAnsi="楷体" w:eastAsia="楷体" w:cs="楷体"/>
          <w:bCs/>
          <w:color w:val="auto"/>
          <w:sz w:val="24"/>
          <w:u w:val="single"/>
        </w:rPr>
        <w:t>1</w:t>
      </w:r>
      <w:r>
        <w:rPr>
          <w:rFonts w:hint="eastAsia" w:ascii="楷体" w:hAnsi="楷体" w:eastAsia="楷体" w:cs="楷体"/>
          <w:bCs/>
          <w:color w:val="auto"/>
          <w:sz w:val="24"/>
          <w:u w:val="single"/>
          <w:lang w:val="en-US" w:eastAsia="zh-CN"/>
        </w:rPr>
        <w:t>5</w:t>
      </w:r>
      <w:r>
        <w:rPr>
          <w:rFonts w:hint="eastAsia" w:ascii="楷体" w:hAnsi="楷体" w:eastAsia="楷体" w:cs="楷体"/>
          <w:bCs/>
          <w:color w:val="auto"/>
          <w:sz w:val="24"/>
          <w:u w:val="single"/>
        </w:rPr>
        <w:t>、承租人需在签署合同后30个工作日内，缴纳产业落地保证金500万元。出租方在承租人完成招商引资产业落地企业总营收额高于25亿元后（含承租人企业营收，营收以</w:t>
      </w:r>
      <w:r>
        <w:rPr>
          <w:rFonts w:hint="eastAsia" w:ascii="楷体" w:hAnsi="楷体" w:eastAsia="楷体" w:cs="楷体"/>
          <w:bCs/>
          <w:color w:val="auto"/>
          <w:sz w:val="24"/>
          <w:u w:val="single"/>
          <w:lang w:val="en-US" w:eastAsia="zh-CN"/>
        </w:rPr>
        <w:t>以</w:t>
      </w:r>
      <w:r>
        <w:rPr>
          <w:rFonts w:hint="eastAsia" w:ascii="楷体" w:hAnsi="楷体" w:eastAsia="楷体" w:cs="楷体"/>
          <w:bCs/>
          <w:color w:val="auto"/>
          <w:sz w:val="24"/>
          <w:u w:val="single"/>
        </w:rPr>
        <w:t>上各落地“四上”数字广告企业自然年度在“统计云工作台”报送统计的任意一期月报、季报、年报的“营业收入”指标为准），45个工作日内将产业落地保证金全额无息退还承租人。若承租人在合同期内未完成年度招商引资产业落地企业总营收额高于25亿元的目标，出租方将在合同到期后45个工作日内将产业落地保证金全额无息退还给承租人。</w:t>
      </w:r>
    </w:p>
    <w:p w14:paraId="0E1BF832">
      <w:pPr>
        <w:adjustRightInd w:val="0"/>
        <w:snapToGrid w:val="0"/>
        <w:spacing w:line="500" w:lineRule="exact"/>
        <w:ind w:firstLine="960" w:firstLineChars="400"/>
        <w:outlineLvl w:val="1"/>
        <w:rPr>
          <w:rFonts w:hint="eastAsia" w:ascii="楷体" w:hAnsi="楷体" w:eastAsia="楷体" w:cs="楷体"/>
          <w:bCs/>
          <w:color w:val="auto"/>
          <w:sz w:val="24"/>
          <w:u w:val="single"/>
        </w:rPr>
      </w:pPr>
      <w:r>
        <w:rPr>
          <w:rFonts w:hint="eastAsia" w:ascii="楷体" w:hAnsi="楷体" w:eastAsia="楷体" w:cs="楷体"/>
          <w:bCs/>
          <w:color w:val="auto"/>
          <w:sz w:val="24"/>
          <w:u w:val="single"/>
        </w:rPr>
        <w:t>1</w:t>
      </w:r>
      <w:r>
        <w:rPr>
          <w:rFonts w:hint="eastAsia" w:ascii="楷体" w:hAnsi="楷体" w:eastAsia="楷体" w:cs="楷体"/>
          <w:bCs/>
          <w:color w:val="auto"/>
          <w:sz w:val="24"/>
          <w:u w:val="single"/>
          <w:lang w:val="en-US" w:eastAsia="zh-CN"/>
        </w:rPr>
        <w:t>6</w:t>
      </w:r>
      <w:r>
        <w:rPr>
          <w:rFonts w:hint="eastAsia" w:ascii="楷体" w:hAnsi="楷体" w:eastAsia="楷体" w:cs="楷体"/>
          <w:bCs/>
          <w:color w:val="auto"/>
          <w:sz w:val="24"/>
          <w:u w:val="single"/>
        </w:rPr>
        <w:t>、租赁场地权属广州市天河区前进街前进股份合作经济联社所有，基于自身经营管理需要，将由下属公司广州市前进置业发展有限公司对本项目进行签订合同、收取租金及开具发票等业务，承租方应无条件接受。</w:t>
      </w:r>
    </w:p>
    <w:p w14:paraId="4C7BC82E">
      <w:pPr>
        <w:adjustRightInd w:val="0"/>
        <w:spacing w:line="500" w:lineRule="exact"/>
        <w:ind w:firstLine="607" w:firstLineChars="253"/>
        <w:rPr>
          <w:rFonts w:hint="eastAsia" w:ascii="楷体" w:hAnsi="楷体" w:eastAsia="楷体" w:cs="楷体"/>
          <w:bCs/>
          <w:color w:val="FF0000"/>
          <w:sz w:val="24"/>
          <w:u w:val="single"/>
        </w:rPr>
      </w:pPr>
    </w:p>
    <w:p w14:paraId="0B97E3EB">
      <w:pPr>
        <w:adjustRightInd w:val="0"/>
        <w:snapToGrid w:val="0"/>
        <w:spacing w:line="400" w:lineRule="exact"/>
        <w:outlineLvl w:val="1"/>
        <w:rPr>
          <w:rFonts w:hint="eastAsia" w:ascii="仿宋" w:hAnsi="仿宋" w:eastAsia="仿宋" w:cs="仿宋"/>
          <w:b/>
          <w:bCs/>
          <w:color w:val="auto"/>
          <w:sz w:val="24"/>
        </w:rPr>
      </w:pPr>
    </w:p>
    <w:bookmarkEnd w:id="2"/>
    <w:bookmarkEnd w:id="7"/>
    <w:bookmarkEnd w:id="8"/>
    <w:p w14:paraId="4C6E3FA6">
      <w:pPr>
        <w:pStyle w:val="17"/>
        <w:spacing w:line="400" w:lineRule="exact"/>
        <w:jc w:val="center"/>
        <w:rPr>
          <w:rFonts w:ascii="宋体" w:hAnsi="宋体" w:cs="宋体"/>
          <w:b/>
          <w:bCs/>
          <w:sz w:val="32"/>
          <w:szCs w:val="32"/>
        </w:rPr>
      </w:pPr>
      <w:bookmarkStart w:id="9" w:name="_Toc391912297"/>
      <w:bookmarkStart w:id="10" w:name="_Toc391912320"/>
      <w:bookmarkStart w:id="11" w:name="_Toc391912326"/>
      <w:bookmarkStart w:id="12" w:name="_Toc391912303"/>
    </w:p>
    <w:p w14:paraId="3C190C5D">
      <w:pPr>
        <w:rPr>
          <w:rFonts w:ascii="宋体" w:hAnsi="宋体" w:cs="宋体"/>
          <w:b/>
          <w:bCs/>
          <w:sz w:val="32"/>
          <w:szCs w:val="32"/>
        </w:rPr>
      </w:pPr>
      <w:r>
        <w:rPr>
          <w:rFonts w:hint="eastAsia" w:ascii="宋体" w:hAnsi="宋体" w:cs="宋体"/>
          <w:b/>
          <w:bCs/>
          <w:sz w:val="32"/>
          <w:szCs w:val="32"/>
        </w:rPr>
        <w:br w:type="page"/>
      </w:r>
    </w:p>
    <w:p w14:paraId="53AE333B">
      <w:pPr>
        <w:pStyle w:val="17"/>
        <w:spacing w:line="400" w:lineRule="exact"/>
        <w:jc w:val="center"/>
        <w:rPr>
          <w:rFonts w:ascii="宋体" w:hAnsi="宋体" w:cs="宋体"/>
          <w:b/>
          <w:bCs/>
          <w:sz w:val="32"/>
          <w:szCs w:val="32"/>
        </w:rPr>
      </w:pPr>
    </w:p>
    <w:p w14:paraId="748D10DA">
      <w:pPr>
        <w:pStyle w:val="17"/>
        <w:spacing w:line="400" w:lineRule="exact"/>
        <w:jc w:val="center"/>
        <w:rPr>
          <w:rFonts w:ascii="宋体" w:hAnsi="宋体" w:eastAsia="仿宋" w:cs="宋体"/>
          <w:b/>
          <w:bCs/>
          <w:sz w:val="32"/>
          <w:szCs w:val="32"/>
        </w:rPr>
      </w:pPr>
      <w:r>
        <w:rPr>
          <w:rFonts w:hint="eastAsia" w:ascii="宋体" w:hAnsi="宋体" w:cs="宋体"/>
          <w:b/>
          <w:bCs/>
          <w:sz w:val="32"/>
          <w:szCs w:val="32"/>
        </w:rPr>
        <w:t>第三部分  竞投须知</w:t>
      </w:r>
    </w:p>
    <w:p w14:paraId="25000600">
      <w:pPr>
        <w:pStyle w:val="17"/>
        <w:spacing w:before="200" w:line="400" w:lineRule="exact"/>
        <w:jc w:val="both"/>
        <w:rPr>
          <w:rFonts w:ascii="仿宋" w:hAnsi="仿宋" w:eastAsia="仿宋" w:cs="仿宋"/>
          <w:b/>
          <w:sz w:val="24"/>
        </w:rPr>
      </w:pPr>
      <w:r>
        <w:rPr>
          <w:rFonts w:hint="eastAsia" w:ascii="仿宋" w:hAnsi="仿宋" w:eastAsia="仿宋" w:cs="仿宋"/>
          <w:b/>
          <w:sz w:val="24"/>
        </w:rPr>
        <w:t>一、竞投人参加网上竞投的基本要求</w:t>
      </w:r>
    </w:p>
    <w:p w14:paraId="222ED2DC">
      <w:pPr>
        <w:spacing w:line="400" w:lineRule="exact"/>
        <w:ind w:firstLine="480" w:firstLineChars="200"/>
        <w:rPr>
          <w:rFonts w:ascii="仿宋" w:hAnsi="仿宋" w:eastAsia="仿宋" w:cs="仿宋"/>
          <w:sz w:val="24"/>
        </w:rPr>
      </w:pPr>
      <w:r>
        <w:rPr>
          <w:rFonts w:hint="eastAsia" w:ascii="仿宋" w:hAnsi="仿宋" w:eastAsia="仿宋" w:cs="仿宋"/>
          <w:sz w:val="24"/>
        </w:rPr>
        <w:t>（一）法人单位：参加网上竞投的竞投人必须以营业执照上的单位名称注册账号；</w:t>
      </w:r>
    </w:p>
    <w:p w14:paraId="1866A2D4">
      <w:pPr>
        <w:spacing w:line="400" w:lineRule="exact"/>
        <w:ind w:firstLine="480" w:firstLineChars="200"/>
        <w:rPr>
          <w:rFonts w:ascii="仿宋" w:hAnsi="仿宋" w:eastAsia="仿宋" w:cs="仿宋"/>
          <w:sz w:val="24"/>
        </w:rPr>
      </w:pPr>
      <w:r>
        <w:rPr>
          <w:rFonts w:hint="eastAsia" w:ascii="仿宋" w:hAnsi="仿宋" w:eastAsia="仿宋" w:cs="仿宋"/>
          <w:sz w:val="24"/>
        </w:rPr>
        <w:t>（二）非法人企业：参加网上竞投的竞投人必须以营业执照上的单位名称注册账号；</w:t>
      </w:r>
    </w:p>
    <w:p w14:paraId="6BEF4220">
      <w:pPr>
        <w:spacing w:line="400" w:lineRule="exact"/>
        <w:ind w:firstLine="480" w:firstLineChars="200"/>
        <w:rPr>
          <w:rFonts w:ascii="仿宋" w:hAnsi="仿宋" w:eastAsia="仿宋" w:cs="仿宋"/>
          <w:sz w:val="24"/>
        </w:rPr>
      </w:pPr>
      <w:r>
        <w:rPr>
          <w:rFonts w:hint="eastAsia" w:ascii="仿宋" w:hAnsi="仿宋" w:eastAsia="仿宋" w:cs="仿宋"/>
          <w:sz w:val="24"/>
        </w:rPr>
        <w:t>（三）工商登记注册的个体户：参加网上竞投的竞投人必须以营业执照上的单位名称注册账号；</w:t>
      </w:r>
    </w:p>
    <w:p w14:paraId="7E2DE58B">
      <w:pPr>
        <w:spacing w:line="400" w:lineRule="exact"/>
        <w:ind w:firstLine="480" w:firstLineChars="200"/>
        <w:rPr>
          <w:rFonts w:ascii="仿宋" w:hAnsi="仿宋" w:eastAsia="仿宋" w:cs="仿宋"/>
          <w:sz w:val="24"/>
        </w:rPr>
      </w:pPr>
      <w:r>
        <w:rPr>
          <w:rFonts w:hint="eastAsia" w:ascii="仿宋" w:hAnsi="仿宋" w:eastAsia="仿宋" w:cs="仿宋"/>
          <w:sz w:val="24"/>
        </w:rPr>
        <w:t>（四）完全民事行为能力的自然人：参加网上竞投的竞投人必须以其本人身份信息注册账号。</w:t>
      </w:r>
    </w:p>
    <w:p w14:paraId="6B649579">
      <w:pPr>
        <w:spacing w:line="400" w:lineRule="exact"/>
        <w:rPr>
          <w:rFonts w:ascii="仿宋" w:hAnsi="仿宋" w:eastAsia="仿宋" w:cs="仿宋"/>
          <w:b/>
          <w:sz w:val="24"/>
        </w:rPr>
      </w:pPr>
      <w:r>
        <w:rPr>
          <w:rFonts w:hint="eastAsia" w:ascii="仿宋" w:hAnsi="仿宋" w:eastAsia="仿宋" w:cs="仿宋"/>
          <w:b/>
          <w:sz w:val="24"/>
        </w:rPr>
        <w:t>二、报名方法</w:t>
      </w:r>
    </w:p>
    <w:p w14:paraId="583AD7D6">
      <w:pPr>
        <w:spacing w:line="40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一）竞投人可于报名时间内通过广州市天河区农村集体资产管理平台http://szjy.thnet.gov.cn/或“天河农村集体资产交易”微信公众号的【网上竞投】模块进行用户登录，仔细阅读竞投公告，选择意向的项目进行报名。</w:t>
      </w:r>
    </w:p>
    <w:p w14:paraId="5CE87200">
      <w:pPr>
        <w:spacing w:line="40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1.以银行转账方式交纳交易保证金的，在报名页面点击获取交纳交易保证金的账号。竞投人通过银行转账方式完成转账后，重新进入报名界面再完整填写报名信息，上传转账凭证及项目资质要求相符的完整资料，点击保存并提交报名，待审核通过，完成报名流程。</w:t>
      </w:r>
    </w:p>
    <w:p w14:paraId="7CED9ECA">
      <w:pPr>
        <w:spacing w:line="400" w:lineRule="exact"/>
        <w:ind w:firstLine="482" w:firstLineChars="200"/>
        <w:rPr>
          <w:rFonts w:hint="eastAsia" w:ascii="仿宋" w:hAnsi="仿宋" w:eastAsia="仿宋" w:cs="仿宋"/>
          <w:b/>
          <w:bCs/>
          <w:color w:val="000000"/>
          <w:sz w:val="24"/>
        </w:rPr>
      </w:pPr>
      <w:r>
        <w:rPr>
          <w:rFonts w:hint="eastAsia" w:ascii="仿宋" w:hAnsi="仿宋" w:eastAsia="仿宋" w:cs="仿宋"/>
          <w:b/>
          <w:bCs/>
          <w:color w:val="000000"/>
          <w:sz w:val="24"/>
        </w:rPr>
        <w:t>2.以银行保函方式交纳交易保证金的，根据要求开立《天河区农村集体资产公开竞投交易保证金保函》，在交易公告约定的保证金交纳截至日期前2个工作日，在报名页面上传电子版保函正本，同时完整填写报名信息，上传项目资质要求相符的完整资料，点击保存并提交报名，同时在报名时间截止前将保函正本原件提交到天河区农村集体资产交易中心暂存，待审核通过，完成报名流程。</w:t>
      </w:r>
    </w:p>
    <w:p w14:paraId="38C76768">
      <w:pPr>
        <w:spacing w:line="400" w:lineRule="exact"/>
        <w:ind w:firstLine="482" w:firstLineChars="200"/>
        <w:rPr>
          <w:rFonts w:ascii="仿宋" w:hAnsi="仿宋" w:eastAsia="仿宋" w:cs="仿宋"/>
          <w:bCs/>
          <w:sz w:val="24"/>
        </w:rPr>
      </w:pPr>
      <w:r>
        <w:rPr>
          <w:rFonts w:hint="eastAsia" w:ascii="仿宋" w:hAnsi="仿宋" w:eastAsia="仿宋" w:cs="仿宋"/>
          <w:b/>
          <w:bCs/>
          <w:color w:val="000000"/>
          <w:sz w:val="24"/>
        </w:rPr>
        <w:t>注：竞投人须在报名时间截止前将保函正本原件存于天河区农村集体资产交易中心，逾期视为未报名成功。</w:t>
      </w:r>
    </w:p>
    <w:p w14:paraId="32103AFD">
      <w:pPr>
        <w:spacing w:line="400" w:lineRule="exact"/>
        <w:ind w:firstLine="480" w:firstLineChars="200"/>
        <w:rPr>
          <w:rFonts w:ascii="仿宋" w:hAnsi="仿宋" w:eastAsia="仿宋" w:cs="仿宋"/>
          <w:bCs/>
          <w:sz w:val="24"/>
        </w:rPr>
      </w:pPr>
      <w:r>
        <w:rPr>
          <w:rFonts w:hint="eastAsia" w:ascii="仿宋" w:hAnsi="仿宋" w:eastAsia="仿宋" w:cs="仿宋"/>
          <w:bCs/>
          <w:sz w:val="24"/>
        </w:rPr>
        <w:t>（二）如未在管理平台注册的竞投人，需登录广州市天河区农村集体资产管理平台http://szjy.thnet.gov.cn/或关注“天河农村集体资产交易”微信公众号进行用户注册，首次注册的用户在完成网上注册资料填写，待审核通过后，可在【网上竞投】模块中选择意向项目进行报名。</w:t>
      </w:r>
    </w:p>
    <w:p w14:paraId="7A6018D5">
      <w:pPr>
        <w:spacing w:line="400" w:lineRule="exact"/>
        <w:rPr>
          <w:rFonts w:ascii="仿宋" w:hAnsi="仿宋" w:eastAsia="仿宋" w:cs="仿宋"/>
          <w:b/>
          <w:sz w:val="24"/>
        </w:rPr>
      </w:pPr>
      <w:r>
        <w:rPr>
          <w:rFonts w:hint="eastAsia" w:ascii="仿宋" w:hAnsi="仿宋" w:eastAsia="仿宋" w:cs="仿宋"/>
          <w:b/>
          <w:sz w:val="24"/>
        </w:rPr>
        <w:t>三、交易保证金</w:t>
      </w:r>
    </w:p>
    <w:p w14:paraId="4A83EEAA">
      <w:pPr>
        <w:spacing w:line="400" w:lineRule="exact"/>
        <w:ind w:firstLine="482" w:firstLineChars="200"/>
        <w:rPr>
          <w:rFonts w:hint="eastAsia" w:ascii="仿宋" w:hAnsi="仿宋" w:eastAsia="仿宋" w:cs="仿宋"/>
          <w:color w:val="000000"/>
          <w:sz w:val="24"/>
        </w:rPr>
      </w:pPr>
      <w:r>
        <w:rPr>
          <w:rFonts w:hint="eastAsia" w:ascii="仿宋" w:hAnsi="仿宋" w:eastAsia="仿宋" w:cs="仿宋"/>
          <w:b/>
          <w:bCs/>
          <w:color w:val="000000"/>
          <w:sz w:val="24"/>
        </w:rPr>
        <w:t>（一）银行转账方式</w:t>
      </w:r>
    </w:p>
    <w:p w14:paraId="4CA5468A">
      <w:pPr>
        <w:spacing w:line="40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1.竞投人必须按照本《交易文件》的交易保证金金额要求及本项目报名界面中显示的</w:t>
      </w:r>
      <w:r>
        <w:rPr>
          <w:rFonts w:hint="eastAsia" w:ascii="仿宋" w:hAnsi="仿宋" w:eastAsia="仿宋" w:cs="仿宋"/>
          <w:b/>
          <w:color w:val="000000"/>
          <w:sz w:val="24"/>
        </w:rPr>
        <w:t>27位</w:t>
      </w:r>
      <w:r>
        <w:rPr>
          <w:rFonts w:hint="eastAsia" w:ascii="仿宋" w:hAnsi="仿宋" w:eastAsia="仿宋" w:cs="仿宋"/>
          <w:color w:val="000000"/>
          <w:sz w:val="24"/>
        </w:rPr>
        <w:t>银行收款账号，确保交易保证金在报名结束前一次性全额到达项目指定账户，交纳方式：银行转账（仅限于通过银行的渠道进行转账，包括手机银行、网上银行、柜台转账等，拒收支付宝转账、微信转账、现金存款）。</w:t>
      </w:r>
    </w:p>
    <w:p w14:paraId="05B2B161">
      <w:pPr>
        <w:spacing w:line="40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2.一份交易保证金只能参加一宗交易竞投。</w:t>
      </w:r>
    </w:p>
    <w:p w14:paraId="5F9FB78B">
      <w:pPr>
        <w:spacing w:line="40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3.竞投人支付交易保证金的户名必须与报名名称及实际参加竞投的竞投人名称一致，否则银行系统无法匹配，银行系统匹配不一致导致保证金无法到达指定帐号的，均无法完成报名。</w:t>
      </w:r>
    </w:p>
    <w:p w14:paraId="597ACE98">
      <w:pPr>
        <w:spacing w:line="40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4.逾期未交纳交易保证金的，或交易保证金款项未在指定日期前到账的，均视为未按要求交纳交易保证金，均无法完成报名。</w:t>
      </w:r>
    </w:p>
    <w:p w14:paraId="441A2A48">
      <w:pPr>
        <w:spacing w:line="40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5.竞投人需在交易系统报名界面正确填写具体的转账信息并上传转账凭证。</w:t>
      </w:r>
    </w:p>
    <w:p w14:paraId="23F81134">
      <w:pPr>
        <w:spacing w:line="400" w:lineRule="exact"/>
        <w:ind w:firstLine="482" w:firstLineChars="200"/>
        <w:rPr>
          <w:rFonts w:hint="eastAsia" w:ascii="仿宋" w:hAnsi="仿宋" w:eastAsia="仿宋" w:cs="仿宋"/>
          <w:color w:val="000000"/>
          <w:sz w:val="24"/>
        </w:rPr>
      </w:pPr>
      <w:r>
        <w:rPr>
          <w:rFonts w:hint="eastAsia" w:ascii="仿宋" w:hAnsi="仿宋" w:eastAsia="仿宋" w:cs="仿宋"/>
          <w:b/>
          <w:bCs/>
          <w:color w:val="000000"/>
          <w:sz w:val="24"/>
        </w:rPr>
        <w:t>（二）银行保函方式</w:t>
      </w:r>
    </w:p>
    <w:p w14:paraId="03D97A12">
      <w:pPr>
        <w:spacing w:line="400" w:lineRule="exact"/>
        <w:ind w:firstLine="482" w:firstLineChars="200"/>
        <w:rPr>
          <w:rFonts w:hint="eastAsia" w:ascii="仿宋" w:hAnsi="仿宋" w:eastAsia="仿宋" w:cs="仿宋"/>
          <w:b/>
          <w:bCs/>
          <w:color w:val="000000"/>
          <w:sz w:val="24"/>
        </w:rPr>
      </w:pPr>
      <w:r>
        <w:rPr>
          <w:rFonts w:hint="eastAsia" w:ascii="仿宋" w:hAnsi="仿宋" w:eastAsia="仿宋" w:cs="仿宋"/>
          <w:b/>
          <w:bCs/>
          <w:color w:val="000000"/>
          <w:sz w:val="24"/>
        </w:rPr>
        <w:t>1.</w:t>
      </w:r>
      <w:r>
        <w:rPr>
          <w:rFonts w:ascii="仿宋" w:hAnsi="仿宋" w:eastAsia="仿宋" w:cs="仿宋"/>
          <w:b/>
          <w:bCs/>
          <w:color w:val="000000"/>
          <w:sz w:val="24"/>
        </w:rPr>
        <w:t>竞</w:t>
      </w:r>
      <w:r>
        <w:rPr>
          <w:rFonts w:hint="eastAsia" w:ascii="仿宋" w:hAnsi="仿宋" w:eastAsia="仿宋" w:cs="仿宋"/>
          <w:b/>
          <w:bCs/>
          <w:color w:val="000000"/>
          <w:sz w:val="24"/>
        </w:rPr>
        <w:t>投</w:t>
      </w:r>
      <w:r>
        <w:rPr>
          <w:rFonts w:ascii="仿宋" w:hAnsi="仿宋" w:eastAsia="仿宋" w:cs="仿宋"/>
          <w:b/>
          <w:bCs/>
          <w:color w:val="000000"/>
          <w:sz w:val="24"/>
        </w:rPr>
        <w:t>人</w:t>
      </w:r>
      <w:r>
        <w:rPr>
          <w:rFonts w:hint="eastAsia" w:ascii="仿宋" w:hAnsi="仿宋" w:eastAsia="仿宋" w:cs="仿宋"/>
          <w:b/>
          <w:bCs/>
          <w:color w:val="000000"/>
          <w:sz w:val="24"/>
        </w:rPr>
        <w:t>须</w:t>
      </w:r>
      <w:r>
        <w:rPr>
          <w:rFonts w:ascii="仿宋" w:hAnsi="仿宋" w:eastAsia="仿宋" w:cs="仿宋"/>
          <w:b/>
          <w:bCs/>
          <w:color w:val="000000"/>
          <w:sz w:val="24"/>
        </w:rPr>
        <w:t>在</w:t>
      </w:r>
      <w:r>
        <w:rPr>
          <w:rFonts w:hint="eastAsia" w:ascii="仿宋" w:hAnsi="仿宋" w:eastAsia="仿宋" w:cs="仿宋"/>
          <w:b/>
          <w:bCs/>
          <w:color w:val="000000"/>
          <w:sz w:val="24"/>
        </w:rPr>
        <w:t>交易</w:t>
      </w:r>
      <w:r>
        <w:rPr>
          <w:rFonts w:ascii="仿宋" w:hAnsi="仿宋" w:eastAsia="仿宋" w:cs="仿宋"/>
          <w:b/>
          <w:bCs/>
          <w:color w:val="000000"/>
          <w:sz w:val="24"/>
        </w:rPr>
        <w:t>公告约定的保证金</w:t>
      </w:r>
      <w:r>
        <w:rPr>
          <w:rFonts w:hint="eastAsia" w:ascii="仿宋" w:hAnsi="仿宋" w:eastAsia="仿宋" w:cs="仿宋"/>
          <w:b/>
          <w:bCs/>
          <w:color w:val="000000"/>
          <w:sz w:val="24"/>
        </w:rPr>
        <w:t>交</w:t>
      </w:r>
      <w:r>
        <w:rPr>
          <w:rFonts w:ascii="仿宋" w:hAnsi="仿宋" w:eastAsia="仿宋" w:cs="仿宋"/>
          <w:b/>
          <w:bCs/>
          <w:color w:val="000000"/>
          <w:sz w:val="24"/>
        </w:rPr>
        <w:t>纳截止时间前</w:t>
      </w:r>
      <w:r>
        <w:rPr>
          <w:rFonts w:hint="eastAsia" w:ascii="仿宋" w:hAnsi="仿宋" w:eastAsia="仿宋" w:cs="仿宋"/>
          <w:b/>
          <w:bCs/>
          <w:color w:val="000000"/>
          <w:sz w:val="24"/>
        </w:rPr>
        <w:t>2</w:t>
      </w:r>
      <w:r>
        <w:rPr>
          <w:rFonts w:ascii="仿宋" w:hAnsi="仿宋" w:eastAsia="仿宋" w:cs="仿宋"/>
          <w:b/>
          <w:bCs/>
          <w:color w:val="000000"/>
          <w:sz w:val="24"/>
        </w:rPr>
        <w:t>个工作日</w:t>
      </w:r>
      <w:r>
        <w:rPr>
          <w:rFonts w:hint="eastAsia" w:ascii="仿宋" w:hAnsi="仿宋" w:eastAsia="仿宋" w:cs="仿宋"/>
          <w:b/>
          <w:bCs/>
          <w:color w:val="000000"/>
          <w:sz w:val="24"/>
        </w:rPr>
        <w:t>将</w:t>
      </w:r>
      <w:r>
        <w:rPr>
          <w:rFonts w:ascii="仿宋" w:hAnsi="仿宋" w:eastAsia="仿宋" w:cs="仿宋"/>
          <w:b/>
          <w:bCs/>
          <w:color w:val="000000"/>
          <w:sz w:val="24"/>
        </w:rPr>
        <w:t>《</w:t>
      </w:r>
      <w:r>
        <w:rPr>
          <w:rFonts w:hint="eastAsia" w:ascii="仿宋" w:hAnsi="仿宋" w:eastAsia="仿宋" w:cs="仿宋"/>
          <w:b/>
          <w:bCs/>
          <w:color w:val="000000"/>
          <w:sz w:val="24"/>
        </w:rPr>
        <w:t>天河区农村集体资产公开竞投交易保证金保函</w:t>
      </w:r>
      <w:r>
        <w:rPr>
          <w:rFonts w:ascii="仿宋" w:hAnsi="仿宋" w:eastAsia="仿宋" w:cs="仿宋"/>
          <w:b/>
          <w:bCs/>
          <w:color w:val="000000"/>
          <w:sz w:val="24"/>
        </w:rPr>
        <w:t>》</w:t>
      </w:r>
      <w:r>
        <w:rPr>
          <w:rFonts w:hint="eastAsia" w:ascii="仿宋" w:hAnsi="仿宋" w:eastAsia="仿宋" w:cs="仿宋"/>
          <w:b/>
          <w:bCs/>
          <w:color w:val="000000"/>
          <w:sz w:val="24"/>
        </w:rPr>
        <w:t>正本上传提交至天河区农村集体资产交易平台进行确认。</w:t>
      </w:r>
    </w:p>
    <w:p w14:paraId="2751B9CB">
      <w:pPr>
        <w:spacing w:line="400" w:lineRule="exact"/>
        <w:ind w:firstLine="482" w:firstLineChars="200"/>
        <w:rPr>
          <w:rFonts w:ascii="仿宋" w:hAnsi="仿宋" w:eastAsia="仿宋" w:cs="仿宋"/>
          <w:bCs/>
          <w:sz w:val="24"/>
        </w:rPr>
      </w:pPr>
      <w:r>
        <w:rPr>
          <w:rFonts w:hint="eastAsia" w:ascii="仿宋" w:hAnsi="仿宋" w:eastAsia="仿宋" w:cs="仿宋"/>
          <w:b/>
          <w:bCs/>
          <w:color w:val="000000"/>
          <w:sz w:val="24"/>
        </w:rPr>
        <w:t>2.竞投人须在报名时间截止前将保函原件存于天河区农村集体资产交易中心，逾期视为未报名成功。</w:t>
      </w:r>
    </w:p>
    <w:p w14:paraId="10F1EC41">
      <w:pPr>
        <w:spacing w:line="400" w:lineRule="exact"/>
        <w:rPr>
          <w:rFonts w:ascii="仿宋" w:hAnsi="仿宋" w:eastAsia="仿宋" w:cs="仿宋"/>
          <w:b/>
          <w:sz w:val="24"/>
        </w:rPr>
      </w:pPr>
      <w:r>
        <w:rPr>
          <w:rFonts w:hint="eastAsia" w:ascii="仿宋" w:hAnsi="仿宋" w:eastAsia="仿宋" w:cs="仿宋"/>
          <w:b/>
          <w:sz w:val="24"/>
        </w:rPr>
        <w:t>四、竞投人资格审核</w:t>
      </w:r>
    </w:p>
    <w:p w14:paraId="7DFC54FB">
      <w:pPr>
        <w:spacing w:line="400" w:lineRule="exact"/>
        <w:ind w:firstLine="480" w:firstLineChars="200"/>
        <w:rPr>
          <w:rFonts w:ascii="仿宋" w:hAnsi="仿宋" w:eastAsia="仿宋" w:cs="仿宋"/>
          <w:b/>
          <w:sz w:val="24"/>
        </w:rPr>
      </w:pPr>
      <w:r>
        <w:rPr>
          <w:rFonts w:hint="eastAsia" w:ascii="仿宋" w:hAnsi="仿宋" w:eastAsia="仿宋" w:cs="仿宋"/>
          <w:bCs/>
          <w:sz w:val="24"/>
        </w:rPr>
        <w:t>（一）项目业主单位</w:t>
      </w:r>
      <w:r>
        <w:rPr>
          <w:rFonts w:hint="eastAsia" w:ascii="仿宋" w:hAnsi="仿宋" w:eastAsia="仿宋" w:cs="仿宋"/>
          <w:b/>
          <w:bCs/>
          <w:sz w:val="24"/>
        </w:rPr>
        <w:t>无其他资质条件要求</w:t>
      </w:r>
      <w:r>
        <w:rPr>
          <w:rFonts w:hint="eastAsia" w:ascii="仿宋" w:hAnsi="仿宋" w:eastAsia="仿宋" w:cs="仿宋"/>
          <w:bCs/>
          <w:sz w:val="24"/>
        </w:rPr>
        <w:t>的项目，竞投人需在报名界面中正确填写转账信息并上传转账凭证，完成报名流程。</w:t>
      </w:r>
    </w:p>
    <w:p w14:paraId="4869A598">
      <w:pPr>
        <w:spacing w:line="400" w:lineRule="exact"/>
        <w:ind w:firstLine="480" w:firstLineChars="200"/>
        <w:rPr>
          <w:rFonts w:ascii="仿宋" w:hAnsi="仿宋" w:eastAsia="仿宋" w:cs="仿宋"/>
          <w:sz w:val="24"/>
        </w:rPr>
      </w:pPr>
      <w:r>
        <w:rPr>
          <w:rFonts w:hint="eastAsia" w:ascii="仿宋" w:hAnsi="仿宋" w:eastAsia="仿宋" w:cs="仿宋"/>
          <w:bCs/>
          <w:sz w:val="24"/>
        </w:rPr>
        <w:t>（二）项目业主单位</w:t>
      </w:r>
      <w:r>
        <w:rPr>
          <w:rFonts w:hint="eastAsia" w:ascii="仿宋" w:hAnsi="仿宋" w:eastAsia="仿宋" w:cs="仿宋"/>
          <w:b/>
          <w:bCs/>
          <w:sz w:val="24"/>
        </w:rPr>
        <w:t>有其他资质条件要求</w:t>
      </w:r>
      <w:r>
        <w:rPr>
          <w:rFonts w:hint="eastAsia" w:ascii="仿宋" w:hAnsi="仿宋" w:eastAsia="仿宋" w:cs="仿宋"/>
          <w:bCs/>
          <w:sz w:val="24"/>
        </w:rPr>
        <w:t>的项目，竞投人需在报名界面中正确填写转账信息，上传转账凭证及其他资质条件要求的相应资料，等待审核，并在</w:t>
      </w:r>
      <w:r>
        <w:rPr>
          <w:rFonts w:hint="eastAsia" w:ascii="仿宋" w:hAnsi="仿宋" w:eastAsia="仿宋" w:cs="仿宋"/>
          <w:sz w:val="24"/>
        </w:rPr>
        <w:t>报名时间内的周一至周五上午9:00--12:00，下午1:00--5:00（法定节假日除外）携带项目业主单位要求提交的所有资料前往天河区农村集体资产交易中心进行审核，资料审核无误后，审核通过，报名成功。（注：需提交的相关资料详见“第一部分 竞投邀请函”第四点）</w:t>
      </w:r>
    </w:p>
    <w:p w14:paraId="439EB6B4">
      <w:pPr>
        <w:spacing w:line="400" w:lineRule="exact"/>
        <w:rPr>
          <w:rFonts w:ascii="仿宋" w:hAnsi="仿宋" w:eastAsia="仿宋" w:cs="仿宋"/>
          <w:b/>
          <w:sz w:val="24"/>
        </w:rPr>
      </w:pPr>
      <w:r>
        <w:rPr>
          <w:rFonts w:hint="eastAsia" w:ascii="仿宋" w:hAnsi="仿宋" w:eastAsia="仿宋" w:cs="仿宋"/>
          <w:b/>
          <w:sz w:val="24"/>
        </w:rPr>
        <w:t>五、竞得人交易确认</w:t>
      </w:r>
    </w:p>
    <w:p w14:paraId="5C076B10">
      <w:pPr>
        <w:spacing w:line="400" w:lineRule="exact"/>
        <w:ind w:firstLine="480" w:firstLineChars="200"/>
        <w:rPr>
          <w:rFonts w:hint="eastAsia" w:ascii="仿宋" w:hAnsi="仿宋" w:eastAsia="仿宋" w:cs="仿宋"/>
          <w:b/>
          <w:bCs/>
          <w:color w:val="000000"/>
          <w:sz w:val="24"/>
        </w:rPr>
      </w:pPr>
      <w:r>
        <w:rPr>
          <w:rFonts w:hint="eastAsia" w:ascii="仿宋" w:hAnsi="仿宋" w:eastAsia="仿宋" w:cs="仿宋"/>
          <w:bCs/>
          <w:sz w:val="24"/>
        </w:rPr>
        <w:t>竞投人成功竞得的，需在竞得后2个工作日内携带相关资料到天河区农村集体资产交易中心签订纸质网上交易平台服务协议及广州市天河区农村集体资产交易确认书，受理时间：周一至周五上午9:00--12:00，下午1:00--5:00（法定节假日除外），未在规定时间内携带相关资料到天河区农村集体资产交易中心签订纸质网上交易平台服务协议及广州市天河区农村集体资产交易确认书的视为自动放弃竞得资格，</w:t>
      </w:r>
      <w:r>
        <w:rPr>
          <w:rFonts w:hint="eastAsia" w:ascii="仿宋" w:hAnsi="仿宋" w:eastAsia="仿宋" w:cs="仿宋"/>
          <w:b/>
          <w:bCs/>
          <w:color w:val="000000"/>
          <w:sz w:val="24"/>
        </w:rPr>
        <w:t>银行转账方式交纳的交易保证金由天河区农村集体资产交易中心一次性全额不计息转交给项目业主单位，由项目业主单位予以没收处理。银行保函方式交纳的交易保证金由天河区农村集体资产交易中心</w:t>
      </w:r>
      <w:r>
        <w:rPr>
          <w:rFonts w:ascii="仿宋" w:hAnsi="仿宋" w:eastAsia="仿宋" w:cs="仿宋"/>
          <w:b/>
          <w:bCs/>
          <w:color w:val="000000"/>
          <w:sz w:val="24"/>
        </w:rPr>
        <w:t>向开立保函的保函承保机构提交书面《索赔通知书》，要求保函开立保函承保机构足额履行其担保责任项下的款项支付义务</w:t>
      </w:r>
      <w:r>
        <w:rPr>
          <w:rFonts w:hint="eastAsia" w:ascii="仿宋" w:hAnsi="仿宋" w:eastAsia="仿宋" w:cs="仿宋"/>
          <w:b/>
          <w:bCs/>
          <w:color w:val="000000"/>
          <w:sz w:val="24"/>
        </w:rPr>
        <w:t>，并将款项付入项目业主单位，由项目业主单位予以没收处理。</w:t>
      </w:r>
    </w:p>
    <w:p w14:paraId="2324C6BA">
      <w:pPr>
        <w:spacing w:line="400" w:lineRule="exact"/>
        <w:ind w:firstLine="480" w:firstLineChars="200"/>
        <w:rPr>
          <w:rFonts w:ascii="仿宋" w:hAnsi="仿宋" w:eastAsia="仿宋" w:cs="仿宋"/>
          <w:bCs/>
          <w:sz w:val="24"/>
        </w:rPr>
      </w:pPr>
      <w:r>
        <w:rPr>
          <w:rFonts w:hint="eastAsia" w:ascii="仿宋" w:hAnsi="仿宋" w:eastAsia="仿宋" w:cs="仿宋"/>
          <w:bCs/>
          <w:sz w:val="24"/>
        </w:rPr>
        <w:t>竞得人凭广州市天河区农村集体资产交易确认书在规定时间内与项目业主单位签订合同。</w:t>
      </w:r>
    </w:p>
    <w:p w14:paraId="166B8362">
      <w:pPr>
        <w:spacing w:line="400" w:lineRule="exact"/>
        <w:ind w:firstLine="480" w:firstLineChars="200"/>
        <w:rPr>
          <w:rFonts w:ascii="仿宋" w:hAnsi="仿宋" w:eastAsia="仿宋" w:cs="仿宋"/>
          <w:bCs/>
          <w:sz w:val="24"/>
        </w:rPr>
      </w:pPr>
      <w:r>
        <w:rPr>
          <w:rFonts w:hint="eastAsia" w:ascii="仿宋" w:hAnsi="仿宋" w:eastAsia="仿宋" w:cs="仿宋"/>
          <w:bCs/>
          <w:sz w:val="24"/>
        </w:rPr>
        <w:t>（一）项目业主单位无其他资质条件要求的项目需提交以下相应资料：</w:t>
      </w:r>
    </w:p>
    <w:p w14:paraId="7FC8FC92">
      <w:pPr>
        <w:spacing w:line="400" w:lineRule="exact"/>
        <w:ind w:firstLine="480" w:firstLineChars="200"/>
        <w:rPr>
          <w:rFonts w:ascii="仿宋" w:hAnsi="仿宋" w:eastAsia="仿宋" w:cs="仿宋"/>
          <w:bCs/>
          <w:sz w:val="24"/>
        </w:rPr>
      </w:pPr>
      <w:r>
        <w:rPr>
          <w:rFonts w:hint="eastAsia" w:ascii="仿宋" w:hAnsi="仿宋" w:eastAsia="仿宋" w:cs="仿宋"/>
          <w:bCs/>
          <w:sz w:val="24"/>
        </w:rPr>
        <w:t>1、法人单位须提供加盖公章的单位营业执照及法定代表人居民身份证复印件（原件备查）；</w:t>
      </w:r>
    </w:p>
    <w:p w14:paraId="1754F8D6">
      <w:pPr>
        <w:spacing w:line="400" w:lineRule="exact"/>
        <w:ind w:firstLine="480" w:firstLineChars="200"/>
        <w:rPr>
          <w:rFonts w:ascii="仿宋" w:hAnsi="仿宋" w:eastAsia="仿宋" w:cs="仿宋"/>
          <w:bCs/>
          <w:sz w:val="24"/>
        </w:rPr>
      </w:pPr>
      <w:r>
        <w:rPr>
          <w:rFonts w:hint="eastAsia" w:ascii="仿宋" w:hAnsi="仿宋" w:eastAsia="仿宋" w:cs="仿宋"/>
          <w:bCs/>
          <w:sz w:val="24"/>
        </w:rPr>
        <w:t>2、非法人企业须提供加盖公章的单位营业执照及负责人（投资人）居民身份证复印件（原件备查）；</w:t>
      </w:r>
    </w:p>
    <w:p w14:paraId="66314109">
      <w:pPr>
        <w:spacing w:line="400" w:lineRule="exact"/>
        <w:ind w:firstLine="480" w:firstLineChars="200"/>
        <w:rPr>
          <w:rFonts w:ascii="仿宋" w:hAnsi="仿宋" w:eastAsia="仿宋" w:cs="仿宋"/>
          <w:bCs/>
          <w:sz w:val="24"/>
        </w:rPr>
      </w:pPr>
      <w:r>
        <w:rPr>
          <w:rFonts w:hint="eastAsia" w:ascii="仿宋" w:hAnsi="仿宋" w:eastAsia="仿宋" w:cs="仿宋"/>
          <w:bCs/>
          <w:sz w:val="24"/>
        </w:rPr>
        <w:t>3、工商登记注册的个体户须提供有效营业执照复印件及个体户负责人居民身份证复印件（原件备查）；</w:t>
      </w:r>
    </w:p>
    <w:p w14:paraId="6DBB2A82">
      <w:pPr>
        <w:spacing w:line="400" w:lineRule="exact"/>
        <w:ind w:firstLine="480" w:firstLineChars="200"/>
        <w:rPr>
          <w:rFonts w:ascii="仿宋" w:hAnsi="仿宋" w:eastAsia="仿宋" w:cs="仿宋"/>
          <w:bCs/>
          <w:sz w:val="24"/>
        </w:rPr>
      </w:pPr>
      <w:r>
        <w:rPr>
          <w:rFonts w:hint="eastAsia" w:ascii="仿宋" w:hAnsi="仿宋" w:eastAsia="仿宋" w:cs="仿宋"/>
          <w:bCs/>
          <w:sz w:val="24"/>
        </w:rPr>
        <w:t>4、完全民事行为能力的自然人须提供居民身份证复印件（原件备查）。</w:t>
      </w:r>
    </w:p>
    <w:p w14:paraId="734A56F7">
      <w:pPr>
        <w:spacing w:line="400" w:lineRule="exact"/>
        <w:rPr>
          <w:rFonts w:ascii="仿宋" w:hAnsi="仿宋" w:eastAsia="仿宋" w:cs="仿宋"/>
          <w:bCs/>
          <w:sz w:val="24"/>
        </w:rPr>
      </w:pPr>
      <w:r>
        <w:rPr>
          <w:rFonts w:hint="eastAsia" w:ascii="仿宋" w:hAnsi="仿宋" w:eastAsia="仿宋" w:cs="仿宋"/>
          <w:bCs/>
          <w:sz w:val="24"/>
        </w:rPr>
        <w:t>注：法人单位、非法人企业须携带公章（仅用于现场盖章）</w:t>
      </w:r>
    </w:p>
    <w:p w14:paraId="4CE4C8E1">
      <w:pPr>
        <w:numPr>
          <w:ilvl w:val="0"/>
          <w:numId w:val="6"/>
        </w:numPr>
        <w:spacing w:line="400" w:lineRule="exact"/>
        <w:ind w:firstLine="480" w:firstLineChars="200"/>
        <w:rPr>
          <w:rFonts w:ascii="仿宋" w:hAnsi="仿宋" w:eastAsia="仿宋" w:cs="仿宋"/>
          <w:bCs/>
          <w:sz w:val="24"/>
        </w:rPr>
      </w:pPr>
      <w:r>
        <w:rPr>
          <w:rFonts w:hint="eastAsia" w:ascii="仿宋" w:hAnsi="仿宋" w:eastAsia="仿宋" w:cs="仿宋"/>
          <w:bCs/>
          <w:sz w:val="24"/>
        </w:rPr>
        <w:t>项目业主单位有其他资质条件要求的项目需携带以下相应资料：</w:t>
      </w:r>
    </w:p>
    <w:p w14:paraId="56C3F9AF">
      <w:pPr>
        <w:spacing w:line="400" w:lineRule="exact"/>
        <w:ind w:firstLine="480" w:firstLineChars="200"/>
        <w:rPr>
          <w:rFonts w:ascii="仿宋" w:hAnsi="仿宋" w:eastAsia="仿宋" w:cs="仿宋"/>
          <w:bCs/>
          <w:sz w:val="24"/>
        </w:rPr>
      </w:pPr>
      <w:r>
        <w:rPr>
          <w:rFonts w:hint="eastAsia" w:ascii="仿宋" w:hAnsi="仿宋" w:eastAsia="仿宋" w:cs="仿宋"/>
          <w:bCs/>
          <w:sz w:val="24"/>
        </w:rPr>
        <w:t>1、法人单位提供营业执照及法定代表人居民身份证原件；</w:t>
      </w:r>
    </w:p>
    <w:p w14:paraId="4479E82F">
      <w:pPr>
        <w:spacing w:line="400" w:lineRule="exact"/>
        <w:ind w:firstLine="480" w:firstLineChars="200"/>
        <w:rPr>
          <w:rFonts w:ascii="仿宋" w:hAnsi="仿宋" w:eastAsia="仿宋" w:cs="仿宋"/>
          <w:bCs/>
          <w:sz w:val="24"/>
        </w:rPr>
      </w:pPr>
      <w:r>
        <w:rPr>
          <w:rFonts w:hint="eastAsia" w:ascii="仿宋" w:hAnsi="仿宋" w:eastAsia="仿宋" w:cs="仿宋"/>
          <w:bCs/>
          <w:sz w:val="24"/>
        </w:rPr>
        <w:t>2、非法人企业提供营业执照及负责人（投资人）居民身份证原件；</w:t>
      </w:r>
    </w:p>
    <w:p w14:paraId="7A50CA33">
      <w:pPr>
        <w:spacing w:line="400" w:lineRule="exact"/>
        <w:ind w:firstLine="480" w:firstLineChars="200"/>
        <w:rPr>
          <w:rFonts w:ascii="仿宋" w:hAnsi="仿宋" w:eastAsia="仿宋" w:cs="仿宋"/>
          <w:bCs/>
          <w:sz w:val="24"/>
        </w:rPr>
      </w:pPr>
      <w:r>
        <w:rPr>
          <w:rFonts w:hint="eastAsia" w:ascii="仿宋" w:hAnsi="仿宋" w:eastAsia="仿宋" w:cs="仿宋"/>
          <w:bCs/>
          <w:sz w:val="24"/>
        </w:rPr>
        <w:t>3、工商登记注册的个体户提供有效营业执照及个体户负责人居民身份证原件；</w:t>
      </w:r>
    </w:p>
    <w:p w14:paraId="642185D6">
      <w:pPr>
        <w:spacing w:line="400" w:lineRule="exact"/>
        <w:ind w:firstLine="480" w:firstLineChars="200"/>
        <w:rPr>
          <w:rFonts w:ascii="仿宋" w:hAnsi="仿宋" w:eastAsia="仿宋" w:cs="仿宋"/>
          <w:bCs/>
          <w:sz w:val="24"/>
        </w:rPr>
      </w:pPr>
      <w:r>
        <w:rPr>
          <w:rFonts w:hint="eastAsia" w:ascii="仿宋" w:hAnsi="仿宋" w:eastAsia="仿宋" w:cs="仿宋"/>
          <w:bCs/>
          <w:sz w:val="24"/>
        </w:rPr>
        <w:t>4、完全民事行为能力的自然人居民身份证原件。</w:t>
      </w:r>
    </w:p>
    <w:p w14:paraId="3C07953E">
      <w:pPr>
        <w:spacing w:line="400" w:lineRule="exact"/>
        <w:rPr>
          <w:rFonts w:ascii="仿宋" w:hAnsi="仿宋" w:eastAsia="仿宋" w:cs="仿宋"/>
          <w:bCs/>
          <w:sz w:val="24"/>
        </w:rPr>
      </w:pPr>
      <w:r>
        <w:rPr>
          <w:rFonts w:hint="eastAsia" w:ascii="仿宋" w:hAnsi="仿宋" w:eastAsia="仿宋" w:cs="仿宋"/>
          <w:bCs/>
          <w:sz w:val="24"/>
        </w:rPr>
        <w:t>注：法人单位、非法人企业须携带公章（仅用于现场盖章）</w:t>
      </w:r>
    </w:p>
    <w:p w14:paraId="6C22383E">
      <w:pPr>
        <w:spacing w:line="400" w:lineRule="exact"/>
        <w:ind w:firstLine="480" w:firstLineChars="200"/>
        <w:rPr>
          <w:rFonts w:ascii="仿宋" w:hAnsi="仿宋" w:eastAsia="仿宋" w:cs="仿宋"/>
          <w:bCs/>
          <w:sz w:val="24"/>
        </w:rPr>
      </w:pPr>
      <w:r>
        <w:rPr>
          <w:rFonts w:hint="eastAsia" w:ascii="仿宋" w:hAnsi="仿宋" w:eastAsia="仿宋" w:cs="仿宋"/>
          <w:bCs/>
          <w:sz w:val="24"/>
        </w:rPr>
        <w:t>（三）竞投人授权委托他人签订纸质网上交易平台服务协议及广州市天河区农村集体资产交易确认书，受委托人须提交以下相应资料：</w:t>
      </w:r>
    </w:p>
    <w:p w14:paraId="4C8E76D3">
      <w:pPr>
        <w:spacing w:line="400" w:lineRule="exact"/>
        <w:ind w:firstLine="480" w:firstLineChars="200"/>
        <w:rPr>
          <w:rFonts w:ascii="仿宋" w:hAnsi="仿宋" w:eastAsia="仿宋" w:cs="仿宋"/>
          <w:bCs/>
          <w:sz w:val="24"/>
        </w:rPr>
      </w:pPr>
      <w:r>
        <w:rPr>
          <w:rFonts w:hint="eastAsia" w:ascii="仿宋" w:hAnsi="仿宋" w:eastAsia="仿宋" w:cs="仿宋"/>
          <w:bCs/>
          <w:sz w:val="24"/>
        </w:rPr>
        <w:t>1.法人机构的法定代表人授权的受委托人须提供授权委托书原件（加盖公章）及受委托人居民身份证复印件（原件备查）；</w:t>
      </w:r>
    </w:p>
    <w:p w14:paraId="0D20BA1F">
      <w:pPr>
        <w:spacing w:line="400" w:lineRule="exact"/>
        <w:ind w:firstLine="480" w:firstLineChars="200"/>
        <w:rPr>
          <w:rFonts w:ascii="仿宋" w:hAnsi="仿宋" w:eastAsia="仿宋" w:cs="仿宋"/>
          <w:bCs/>
          <w:sz w:val="24"/>
        </w:rPr>
      </w:pPr>
      <w:r>
        <w:rPr>
          <w:rFonts w:hint="eastAsia" w:ascii="仿宋" w:hAnsi="仿宋" w:eastAsia="仿宋" w:cs="仿宋"/>
          <w:bCs/>
          <w:sz w:val="24"/>
        </w:rPr>
        <w:t>2、非法人企业的负责人（投资人）授权的受委托人须提供授权委托书原件（加盖公章）及受委托人居民身份证复印件（原件备查）；</w:t>
      </w:r>
    </w:p>
    <w:p w14:paraId="72C360F2">
      <w:pPr>
        <w:spacing w:line="400" w:lineRule="exact"/>
        <w:ind w:firstLine="480" w:firstLineChars="200"/>
        <w:rPr>
          <w:rFonts w:ascii="仿宋" w:hAnsi="仿宋" w:eastAsia="仿宋" w:cs="仿宋"/>
          <w:bCs/>
          <w:sz w:val="24"/>
        </w:rPr>
      </w:pPr>
      <w:r>
        <w:rPr>
          <w:rFonts w:hint="eastAsia" w:ascii="仿宋" w:hAnsi="仿宋" w:eastAsia="仿宋" w:cs="仿宋"/>
          <w:bCs/>
          <w:sz w:val="24"/>
        </w:rPr>
        <w:t>3.工商登记注册的个体户负责人授权的受委托人须提供授权委托书原件（摁委托人手印）及受委托人居民身份证复印件（原件备查）；</w:t>
      </w:r>
    </w:p>
    <w:p w14:paraId="354BD042">
      <w:pPr>
        <w:spacing w:line="400" w:lineRule="exact"/>
        <w:ind w:firstLine="480" w:firstLineChars="200"/>
        <w:rPr>
          <w:rFonts w:ascii="仿宋" w:hAnsi="仿宋" w:eastAsia="仿宋" w:cs="仿宋"/>
          <w:bCs/>
          <w:sz w:val="24"/>
        </w:rPr>
      </w:pPr>
      <w:r>
        <w:rPr>
          <w:rFonts w:hint="eastAsia" w:ascii="仿宋" w:hAnsi="仿宋" w:eastAsia="仿宋" w:cs="仿宋"/>
          <w:bCs/>
          <w:sz w:val="24"/>
        </w:rPr>
        <w:t>4.完全民事行为能力的自然人授权的受委托人须提供授权委托书原件（摁委托人手印）及受委托人居民身份证复印件（原件备查）。</w:t>
      </w:r>
    </w:p>
    <w:p w14:paraId="61F1A11E">
      <w:pPr>
        <w:spacing w:line="400" w:lineRule="exact"/>
        <w:rPr>
          <w:rFonts w:ascii="仿宋" w:hAnsi="仿宋" w:eastAsia="仿宋" w:cs="仿宋"/>
          <w:bCs/>
          <w:sz w:val="24"/>
        </w:rPr>
      </w:pPr>
      <w:r>
        <w:rPr>
          <w:rFonts w:hint="eastAsia" w:ascii="仿宋" w:hAnsi="仿宋" w:eastAsia="仿宋" w:cs="仿宋"/>
          <w:bCs/>
          <w:sz w:val="24"/>
        </w:rPr>
        <w:t xml:space="preserve">注：授权委托书中的委托权限应当注明签订纸质网上交易平台服务协议及广州市天河区农村集体资产交易确认书等具体委托事项，受委托人实施一切代理行为所产生的全部后果及责任，由委托人承担。  </w:t>
      </w:r>
    </w:p>
    <w:p w14:paraId="37DBBEB3">
      <w:pPr>
        <w:spacing w:line="400" w:lineRule="exact"/>
        <w:rPr>
          <w:rFonts w:ascii="仿宋" w:hAnsi="仿宋" w:eastAsia="仿宋" w:cs="仿宋"/>
          <w:b/>
          <w:sz w:val="24"/>
        </w:rPr>
      </w:pPr>
      <w:r>
        <w:rPr>
          <w:rFonts w:hint="eastAsia" w:ascii="仿宋" w:hAnsi="仿宋" w:eastAsia="仿宋" w:cs="仿宋"/>
          <w:b/>
          <w:sz w:val="24"/>
        </w:rPr>
        <w:t>六、网上交易规则</w:t>
      </w:r>
    </w:p>
    <w:p w14:paraId="54D31D58">
      <w:pPr>
        <w:spacing w:line="400" w:lineRule="exact"/>
        <w:rPr>
          <w:rFonts w:ascii="仿宋" w:hAnsi="仿宋" w:eastAsia="仿宋" w:cs="仿宋"/>
          <w:bCs/>
          <w:sz w:val="24"/>
        </w:rPr>
      </w:pPr>
      <w:r>
        <w:rPr>
          <w:rFonts w:hint="eastAsia" w:ascii="仿宋" w:hAnsi="仿宋" w:eastAsia="仿宋" w:cs="仿宋"/>
          <w:b/>
          <w:sz w:val="24"/>
        </w:rPr>
        <w:t xml:space="preserve">     </w:t>
      </w:r>
      <w:r>
        <w:rPr>
          <w:rFonts w:hint="eastAsia" w:ascii="仿宋" w:hAnsi="仿宋" w:eastAsia="仿宋" w:cs="仿宋"/>
          <w:bCs/>
          <w:sz w:val="24"/>
        </w:rPr>
        <w:t>（一)竞投开始前，系统为每一个竞投人随机分配竞投号，竞投人以竞投号参与竞投，竞投人姓名等信息暂不对其他人员公开，直至竞投结束，竞投系统自动公开竞投人姓名等信息。</w:t>
      </w:r>
    </w:p>
    <w:p w14:paraId="04FA5430">
      <w:pPr>
        <w:spacing w:line="400" w:lineRule="exact"/>
        <w:ind w:firstLine="480" w:firstLineChars="200"/>
        <w:rPr>
          <w:rFonts w:ascii="仿宋" w:hAnsi="仿宋" w:eastAsia="仿宋" w:cs="仿宋"/>
          <w:bCs/>
          <w:sz w:val="24"/>
        </w:rPr>
      </w:pPr>
      <w:r>
        <w:rPr>
          <w:rFonts w:hint="eastAsia" w:ascii="仿宋" w:hAnsi="仿宋" w:eastAsia="仿宋" w:cs="仿宋"/>
          <w:bCs/>
          <w:sz w:val="24"/>
        </w:rPr>
        <w:t>（二）本次交易只有一个竞投人的，成交价不得低于底价。有两个以上竞投人的按照价高者得的原则成交，报名成功的竞投人，按照本项目交易规则进行报价，第一位竞投人点击出价并确认，系统则默认为交易底价，从第二位竞投人开始点击出价并确认，系统则按自然递增价出价，竞投人也可报出高于自然递增价的整数出价,每次加价金额不得高于</w:t>
      </w:r>
    </w:p>
    <w:p w14:paraId="1B2E2EAD">
      <w:pPr>
        <w:spacing w:line="400" w:lineRule="exact"/>
        <w:rPr>
          <w:rFonts w:ascii="仿宋" w:hAnsi="仿宋" w:eastAsia="仿宋" w:cs="仿宋"/>
          <w:bCs/>
          <w:sz w:val="24"/>
        </w:rPr>
      </w:pPr>
      <w:r>
        <w:rPr>
          <w:rFonts w:hint="eastAsia" w:ascii="仿宋" w:hAnsi="仿宋" w:eastAsia="仿宋" w:cs="仿宋"/>
          <w:bCs/>
          <w:color w:val="auto"/>
          <w:sz w:val="24"/>
          <w:u w:val="single"/>
        </w:rPr>
        <w:t xml:space="preserve">  </w:t>
      </w:r>
      <w:r>
        <w:rPr>
          <w:rFonts w:hint="eastAsia" w:ascii="仿宋" w:hAnsi="仿宋" w:eastAsia="仿宋" w:cs="仿宋"/>
          <w:bCs/>
          <w:color w:val="auto"/>
          <w:sz w:val="24"/>
          <w:u w:val="single"/>
          <w:lang w:val="en-US" w:eastAsia="zh-CN"/>
        </w:rPr>
        <w:t>5</w:t>
      </w:r>
      <w:r>
        <w:rPr>
          <w:rFonts w:hint="eastAsia" w:ascii="仿宋" w:hAnsi="仿宋" w:eastAsia="仿宋" w:cs="仿宋"/>
          <w:bCs/>
          <w:color w:val="auto"/>
          <w:sz w:val="24"/>
          <w:u w:val="single"/>
        </w:rPr>
        <w:t>元</w:t>
      </w:r>
      <w:r>
        <w:rPr>
          <w:rFonts w:hint="eastAsia" w:ascii="仿宋" w:hAnsi="仿宋" w:eastAsia="仿宋" w:cs="仿宋"/>
          <w:bCs/>
          <w:color w:val="auto"/>
          <w:sz w:val="24"/>
          <w:u w:val="single"/>
          <w:lang w:val="en-US" w:eastAsia="zh-CN"/>
        </w:rPr>
        <w:t>/平方米</w:t>
      </w:r>
      <w:r>
        <w:rPr>
          <w:rFonts w:hint="eastAsia" w:ascii="仿宋" w:hAnsi="仿宋" w:eastAsia="仿宋" w:cs="仿宋"/>
          <w:bCs/>
          <w:color w:val="auto"/>
          <w:sz w:val="24"/>
          <w:u w:val="single"/>
        </w:rPr>
        <w:t xml:space="preserve">/月 </w:t>
      </w:r>
      <w:r>
        <w:rPr>
          <w:rFonts w:hint="eastAsia" w:ascii="仿宋" w:hAnsi="仿宋" w:eastAsia="仿宋" w:cs="仿宋"/>
          <w:bCs/>
          <w:color w:val="auto"/>
          <w:sz w:val="24"/>
        </w:rPr>
        <w:t xml:space="preserve"> 。</w:t>
      </w:r>
      <w:r>
        <w:rPr>
          <w:rFonts w:hint="eastAsia" w:ascii="仿宋" w:hAnsi="仿宋" w:eastAsia="仿宋" w:cs="仿宋"/>
          <w:bCs/>
          <w:sz w:val="24"/>
        </w:rPr>
        <w:t>请竞投人在出价前认真核对出价金额，一旦出价，不予撤销。</w:t>
      </w:r>
    </w:p>
    <w:bookmarkEnd w:id="9"/>
    <w:bookmarkEnd w:id="10"/>
    <w:p w14:paraId="447ED45F">
      <w:pPr>
        <w:spacing w:line="400" w:lineRule="exact"/>
        <w:ind w:firstLine="480" w:firstLineChars="200"/>
        <w:rPr>
          <w:rFonts w:hint="eastAsia" w:ascii="仿宋" w:hAnsi="仿宋" w:eastAsia="仿宋" w:cs="仿宋"/>
          <w:bCs/>
          <w:sz w:val="24"/>
          <w:lang w:eastAsia="zh-CN"/>
        </w:rPr>
      </w:pPr>
      <w:r>
        <w:rPr>
          <w:rFonts w:hint="eastAsia" w:ascii="仿宋" w:hAnsi="仿宋" w:eastAsia="仿宋" w:cs="仿宋"/>
          <w:bCs/>
          <w:sz w:val="24"/>
        </w:rPr>
        <w:t>（三）本次交易</w:t>
      </w:r>
      <w:r>
        <w:rPr>
          <w:rFonts w:hint="eastAsia" w:ascii="仿宋" w:hAnsi="仿宋" w:eastAsia="仿宋" w:cs="仿宋"/>
          <w:bCs/>
          <w:sz w:val="24"/>
          <w:lang w:eastAsia="zh-CN"/>
        </w:rPr>
        <w:t>无</w:t>
      </w:r>
      <w:r>
        <w:rPr>
          <w:rFonts w:hint="eastAsia" w:ascii="仿宋" w:hAnsi="仿宋" w:eastAsia="仿宋" w:cs="仿宋"/>
          <w:bCs/>
          <w:sz w:val="24"/>
        </w:rPr>
        <w:t>优先承租权</w:t>
      </w:r>
      <w:r>
        <w:rPr>
          <w:rFonts w:hint="eastAsia" w:ascii="仿宋" w:hAnsi="仿宋" w:eastAsia="仿宋" w:cs="仿宋"/>
          <w:bCs/>
          <w:sz w:val="24"/>
          <w:lang w:eastAsia="zh-CN"/>
        </w:rPr>
        <w:t>。</w:t>
      </w:r>
    </w:p>
    <w:p w14:paraId="7EE1879B">
      <w:pPr>
        <w:spacing w:line="400" w:lineRule="exact"/>
        <w:ind w:firstLine="480" w:firstLineChars="200"/>
        <w:rPr>
          <w:rFonts w:ascii="仿宋" w:hAnsi="仿宋" w:eastAsia="仿宋" w:cs="仿宋"/>
          <w:bCs/>
          <w:sz w:val="24"/>
        </w:rPr>
      </w:pPr>
      <w:r>
        <w:rPr>
          <w:rFonts w:hint="eastAsia" w:ascii="仿宋" w:hAnsi="仿宋" w:eastAsia="仿宋" w:cs="仿宋"/>
          <w:bCs/>
          <w:sz w:val="24"/>
        </w:rPr>
        <w:t>（四）本项目竞投初始出价时长为60分钟，60分钟内竞投人可自由出价，竞价结束前3分钟内无人出价的，网上交易平台显示的最高出价为当前最高出价；如有竞投人在竞投结束时间前3分钟内出价，系统自动将出价时长顺延3分钟，等待下一次出价，以此类推，直至无人出价，以最后出价作为当前最高出价。</w:t>
      </w:r>
    </w:p>
    <w:bookmarkEnd w:id="11"/>
    <w:bookmarkEnd w:id="12"/>
    <w:p w14:paraId="70F25CBB">
      <w:pPr>
        <w:spacing w:line="40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五）竞投结束后，交易结果将在广州市天河区农村集体资产管理平台、天河区信息网等信息平台进行公示，项目业主单位还应当在其信息公开栏（“三公开”栏）、标的物所在地等处发布交易结果公示。公示时间不得少于5个工作日。公示期间如对交易程序或结果提出异议的，可以书面形式向区农业农村局、街道办事处或纪检监察部门提出质疑。</w:t>
      </w:r>
    </w:p>
    <w:p w14:paraId="60B7BD77">
      <w:pPr>
        <w:spacing w:line="40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六）竞投结果公示结束后5个工作日内，项目业主单位和竞得人应当到交易服务机构指定的场所签订合同。因特殊情况，未能在规定时间内签订合同的，项目业主单位和竞得人达成一致意见，可由项目业主单位向交易管理机构提出合同延期签订申请，经所属经济联社、街道交易管理机构审核通过后，方可延期签订合同。</w:t>
      </w:r>
    </w:p>
    <w:p w14:paraId="792B6914">
      <w:pPr>
        <w:spacing w:line="400" w:lineRule="exact"/>
        <w:ind w:firstLine="482" w:firstLineChars="200"/>
        <w:rPr>
          <w:rFonts w:ascii="仿宋" w:hAnsi="仿宋" w:eastAsia="仿宋" w:cs="仿宋"/>
          <w:color w:val="000000"/>
          <w:sz w:val="24"/>
        </w:rPr>
      </w:pPr>
      <w:r>
        <w:rPr>
          <w:rFonts w:hint="eastAsia" w:ascii="仿宋" w:hAnsi="仿宋" w:eastAsia="仿宋" w:cs="仿宋"/>
          <w:b/>
          <w:bCs/>
          <w:color w:val="000000"/>
          <w:sz w:val="24"/>
        </w:rPr>
        <w:t>（七）交易保证金处理方式：</w:t>
      </w:r>
    </w:p>
    <w:p w14:paraId="294AE796">
      <w:pPr>
        <w:spacing w:line="40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1.未竞得人：</w:t>
      </w:r>
    </w:p>
    <w:p w14:paraId="27FCB4B2">
      <w:pPr>
        <w:spacing w:line="40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（1）竞投人以银行转账方式交纳的交易保证金，在该项目交易结果公示结束后5个工作日内一次性全额不计息按原账号返还。</w:t>
      </w:r>
    </w:p>
    <w:p w14:paraId="3FBDFD5A">
      <w:pPr>
        <w:spacing w:line="400" w:lineRule="exact"/>
        <w:ind w:firstLine="482" w:firstLineChars="200"/>
        <w:rPr>
          <w:rFonts w:hint="eastAsia" w:ascii="仿宋" w:hAnsi="仿宋" w:eastAsia="仿宋" w:cs="仿宋"/>
          <w:color w:val="000000"/>
          <w:sz w:val="24"/>
        </w:rPr>
      </w:pPr>
      <w:r>
        <w:rPr>
          <w:rFonts w:hint="eastAsia" w:ascii="仿宋" w:hAnsi="仿宋" w:eastAsia="仿宋" w:cs="仿宋"/>
          <w:b/>
          <w:bCs/>
          <w:color w:val="000000"/>
          <w:sz w:val="24"/>
        </w:rPr>
        <w:t>（2）竞投人以银行保函方式交纳的交易保证金，未竞得人应在该项目交易结果公示结束后（终止交易的项目在终止公告发布后）5个工作日内到天河区农村集体资产交易中心领取保函正本原件和</w:t>
      </w:r>
      <w:r>
        <w:rPr>
          <w:rFonts w:ascii="仿宋" w:hAnsi="仿宋" w:eastAsia="仿宋" w:cs="仿宋"/>
          <w:b/>
          <w:bCs/>
          <w:color w:val="000000"/>
          <w:sz w:val="24"/>
        </w:rPr>
        <w:t>《</w:t>
      </w:r>
      <w:r>
        <w:rPr>
          <w:rFonts w:hint="eastAsia" w:ascii="仿宋" w:hAnsi="仿宋" w:eastAsia="仿宋" w:cs="仿宋"/>
          <w:b/>
          <w:bCs/>
          <w:color w:val="000000"/>
          <w:sz w:val="24"/>
        </w:rPr>
        <w:t>天河区农村集体资产公开竞投交易保证金保函解除凭据</w:t>
      </w:r>
      <w:r>
        <w:rPr>
          <w:rFonts w:ascii="仿宋" w:hAnsi="仿宋" w:eastAsia="仿宋" w:cs="仿宋"/>
          <w:b/>
          <w:bCs/>
          <w:color w:val="000000"/>
          <w:sz w:val="24"/>
        </w:rPr>
        <w:t>》</w:t>
      </w:r>
      <w:r>
        <w:rPr>
          <w:rFonts w:hint="eastAsia" w:ascii="仿宋" w:hAnsi="仿宋" w:eastAsia="仿宋" w:cs="仿宋"/>
          <w:b/>
          <w:bCs/>
          <w:color w:val="000000"/>
          <w:sz w:val="24"/>
        </w:rPr>
        <w:t>，并自行前往保函开立机构解除</w:t>
      </w:r>
      <w:r>
        <w:rPr>
          <w:rFonts w:ascii="仿宋" w:hAnsi="仿宋" w:eastAsia="仿宋" w:cs="仿宋"/>
          <w:b/>
          <w:bCs/>
          <w:color w:val="000000"/>
          <w:sz w:val="24"/>
        </w:rPr>
        <w:t>。</w:t>
      </w:r>
    </w:p>
    <w:p w14:paraId="425D31ED">
      <w:pPr>
        <w:spacing w:line="400" w:lineRule="exact"/>
        <w:ind w:firstLine="480" w:firstLineChars="200"/>
        <w:rPr>
          <w:rFonts w:ascii="仿宋" w:hAnsi="仿宋" w:eastAsia="仿宋" w:cs="仿宋"/>
          <w:color w:val="000000"/>
          <w:sz w:val="24"/>
        </w:rPr>
      </w:pPr>
      <w:r>
        <w:rPr>
          <w:rFonts w:hint="eastAsia" w:ascii="仿宋" w:hAnsi="仿宋" w:eastAsia="仿宋" w:cs="仿宋"/>
          <w:color w:val="000000"/>
          <w:sz w:val="24"/>
        </w:rPr>
        <w:t>2.竞得人：</w:t>
      </w:r>
    </w:p>
    <w:p w14:paraId="0E478BE3">
      <w:pPr>
        <w:spacing w:line="40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1）竞投人以银行转账方式交纳的交易保证金，成功竞得的，交易保证金在合同签订后5个工作日内一次性全额不计利息返还，或者按公告约定转为合同履约保证金。竞投结果公示结束后5个工作日内，因竞得人原因，未与项目业主单位签订合同的，视为放弃竞得资格，交易保证金由交易服务机构一次性全额不计息全额转交给项目业主单位，由项目业主单位予以没收处理。</w:t>
      </w:r>
    </w:p>
    <w:p w14:paraId="01C000E6">
      <w:pPr>
        <w:spacing w:line="400" w:lineRule="exact"/>
        <w:ind w:firstLine="482" w:firstLineChars="200"/>
        <w:rPr>
          <w:rFonts w:ascii="仿宋" w:hAnsi="仿宋" w:eastAsia="仿宋" w:cs="仿宋"/>
          <w:color w:val="000000"/>
          <w:sz w:val="24"/>
        </w:rPr>
      </w:pPr>
      <w:r>
        <w:rPr>
          <w:rFonts w:hint="eastAsia" w:ascii="仿宋" w:hAnsi="仿宋" w:eastAsia="仿宋" w:cs="仿宋"/>
          <w:b/>
          <w:bCs/>
          <w:color w:val="000000"/>
          <w:sz w:val="24"/>
        </w:rPr>
        <w:t>（2）竞投人以银行保函方式交纳的交易保证金，成功竞得的，竞得人应在合同签订后5个工作日内到天河区农村集体资产交易中心领取保函正本原件和</w:t>
      </w:r>
      <w:r>
        <w:rPr>
          <w:rFonts w:ascii="仿宋" w:hAnsi="仿宋" w:eastAsia="仿宋" w:cs="仿宋"/>
          <w:b/>
          <w:bCs/>
          <w:color w:val="000000"/>
          <w:sz w:val="24"/>
        </w:rPr>
        <w:t>《</w:t>
      </w:r>
      <w:r>
        <w:rPr>
          <w:rFonts w:hint="eastAsia" w:ascii="仿宋" w:hAnsi="仿宋" w:eastAsia="仿宋" w:cs="仿宋"/>
          <w:b/>
          <w:bCs/>
          <w:color w:val="000000"/>
          <w:sz w:val="24"/>
        </w:rPr>
        <w:t>天河区农村集体资产公开竞投交易保证金保函解除凭据</w:t>
      </w:r>
      <w:r>
        <w:rPr>
          <w:rFonts w:ascii="仿宋" w:hAnsi="仿宋" w:eastAsia="仿宋" w:cs="仿宋"/>
          <w:b/>
          <w:bCs/>
          <w:color w:val="000000"/>
          <w:sz w:val="24"/>
        </w:rPr>
        <w:t>》</w:t>
      </w:r>
      <w:r>
        <w:rPr>
          <w:rFonts w:hint="eastAsia" w:ascii="仿宋" w:hAnsi="仿宋" w:eastAsia="仿宋" w:cs="仿宋"/>
          <w:b/>
          <w:bCs/>
          <w:color w:val="000000"/>
          <w:sz w:val="24"/>
        </w:rPr>
        <w:t>，并自行前往保函开立机构解除。竞投结果公示结束后5个工作日内，因竞得人原因，未与项目业主单位签订合同的，视为放弃竞得资格，银行保函方式交纳的交易保证金由天河区农村集体资产交易中心</w:t>
      </w:r>
      <w:r>
        <w:rPr>
          <w:rFonts w:ascii="仿宋" w:hAnsi="仿宋" w:eastAsia="仿宋" w:cs="仿宋"/>
          <w:b/>
          <w:bCs/>
          <w:color w:val="000000"/>
          <w:sz w:val="24"/>
        </w:rPr>
        <w:t>向开立保函的保函承保机构提交书面《索赔通知书》，要求保函开立保函承保机构足额履行其担保责任项下的款项支付义务</w:t>
      </w:r>
      <w:r>
        <w:rPr>
          <w:rFonts w:hint="eastAsia" w:ascii="仿宋" w:hAnsi="仿宋" w:eastAsia="仿宋" w:cs="仿宋"/>
          <w:b/>
          <w:bCs/>
          <w:color w:val="000000"/>
          <w:sz w:val="24"/>
        </w:rPr>
        <w:t>，并将款项付入项目业主单位，由项目业主单位予以没收处理。</w:t>
      </w:r>
    </w:p>
    <w:p w14:paraId="75C4BF9E">
      <w:pPr>
        <w:spacing w:line="400" w:lineRule="exact"/>
        <w:ind w:firstLine="482" w:firstLineChars="200"/>
        <w:rPr>
          <w:rFonts w:ascii="仿宋" w:hAnsi="仿宋" w:eastAsia="仿宋" w:cs="仿宋"/>
          <w:b/>
          <w:color w:val="000000"/>
          <w:sz w:val="24"/>
        </w:rPr>
      </w:pPr>
      <w:r>
        <w:rPr>
          <w:rFonts w:hint="eastAsia" w:ascii="仿宋" w:hAnsi="仿宋" w:eastAsia="仿宋" w:cs="仿宋"/>
          <w:b/>
          <w:color w:val="000000"/>
          <w:sz w:val="24"/>
        </w:rPr>
        <w:t>（八）在全区范围内，竞投人或承租（承包）人存在以下情形之一的，列入天河区农村集体资产交易信用评价黑名单：</w:t>
      </w:r>
    </w:p>
    <w:p w14:paraId="7E3B1E71">
      <w:pPr>
        <w:spacing w:line="400" w:lineRule="exact"/>
        <w:ind w:firstLine="480" w:firstLineChars="200"/>
        <w:rPr>
          <w:rFonts w:ascii="仿宋" w:hAnsi="仿宋" w:eastAsia="仿宋" w:cs="仿宋"/>
          <w:color w:val="000000"/>
          <w:sz w:val="24"/>
        </w:rPr>
      </w:pPr>
      <w:r>
        <w:rPr>
          <w:rFonts w:hint="eastAsia" w:ascii="仿宋" w:hAnsi="仿宋" w:eastAsia="仿宋" w:cs="仿宋"/>
          <w:color w:val="000000"/>
          <w:sz w:val="24"/>
        </w:rPr>
        <w:t>1.一年内累计5次不进场交易的；</w:t>
      </w:r>
    </w:p>
    <w:p w14:paraId="142EE04A">
      <w:pPr>
        <w:spacing w:line="400" w:lineRule="exact"/>
        <w:ind w:firstLine="480" w:firstLineChars="200"/>
        <w:rPr>
          <w:rFonts w:ascii="仿宋" w:hAnsi="仿宋" w:eastAsia="仿宋" w:cs="仿宋"/>
          <w:color w:val="000000"/>
          <w:sz w:val="24"/>
        </w:rPr>
      </w:pPr>
      <w:r>
        <w:rPr>
          <w:rFonts w:hint="eastAsia" w:ascii="仿宋" w:hAnsi="仿宋" w:eastAsia="仿宋" w:cs="仿宋"/>
          <w:color w:val="000000"/>
          <w:sz w:val="24"/>
        </w:rPr>
        <w:t>2.一年内累计5次进场交易但不报价的；</w:t>
      </w:r>
    </w:p>
    <w:p w14:paraId="2D24244F">
      <w:pPr>
        <w:spacing w:line="400" w:lineRule="exact"/>
        <w:ind w:firstLine="480" w:firstLineChars="200"/>
        <w:rPr>
          <w:rFonts w:ascii="仿宋" w:hAnsi="仿宋" w:eastAsia="仿宋" w:cs="仿宋"/>
          <w:color w:val="000000"/>
          <w:sz w:val="24"/>
        </w:rPr>
      </w:pPr>
      <w:r>
        <w:rPr>
          <w:rFonts w:hint="eastAsia" w:ascii="仿宋" w:hAnsi="仿宋" w:eastAsia="仿宋" w:cs="仿宋"/>
          <w:color w:val="000000"/>
          <w:sz w:val="24"/>
        </w:rPr>
        <w:t>3.扰乱交易秩序，影响交易正常进行的；</w:t>
      </w:r>
    </w:p>
    <w:p w14:paraId="2AEE14F9">
      <w:pPr>
        <w:spacing w:line="400" w:lineRule="exact"/>
        <w:ind w:firstLine="480" w:firstLineChars="200"/>
        <w:rPr>
          <w:rFonts w:ascii="仿宋" w:hAnsi="仿宋" w:eastAsia="仿宋" w:cs="仿宋"/>
          <w:color w:val="000000"/>
          <w:sz w:val="24"/>
        </w:rPr>
      </w:pPr>
      <w:r>
        <w:rPr>
          <w:rFonts w:hint="eastAsia" w:ascii="仿宋" w:hAnsi="仿宋" w:eastAsia="仿宋" w:cs="仿宋"/>
          <w:color w:val="000000"/>
          <w:sz w:val="24"/>
        </w:rPr>
        <w:t>4.竞投人有弄虚作假、串通竞投、行贿、敲诈勒索、威胁他人行为的；</w:t>
      </w:r>
    </w:p>
    <w:p w14:paraId="4B472D2C">
      <w:pPr>
        <w:spacing w:line="400" w:lineRule="exact"/>
        <w:ind w:firstLine="480" w:firstLineChars="200"/>
        <w:rPr>
          <w:rFonts w:ascii="仿宋" w:hAnsi="仿宋" w:eastAsia="仿宋" w:cs="仿宋"/>
          <w:color w:val="000000"/>
          <w:sz w:val="24"/>
        </w:rPr>
      </w:pPr>
      <w:r>
        <w:rPr>
          <w:rFonts w:hint="eastAsia" w:ascii="仿宋" w:hAnsi="仿宋" w:eastAsia="仿宋" w:cs="仿宋"/>
          <w:color w:val="000000"/>
          <w:sz w:val="24"/>
        </w:rPr>
        <w:t>5.在竞得成功后，2个工作日内无正当理由不提交相关纸质资料的；</w:t>
      </w:r>
    </w:p>
    <w:p w14:paraId="42735C15">
      <w:pPr>
        <w:spacing w:line="400" w:lineRule="exact"/>
        <w:ind w:firstLine="480" w:firstLineChars="200"/>
        <w:rPr>
          <w:rFonts w:ascii="仿宋" w:hAnsi="仿宋" w:eastAsia="仿宋" w:cs="仿宋"/>
          <w:color w:val="000000"/>
          <w:sz w:val="24"/>
        </w:rPr>
      </w:pPr>
      <w:r>
        <w:rPr>
          <w:rFonts w:hint="eastAsia" w:ascii="仿宋" w:hAnsi="仿宋" w:eastAsia="仿宋" w:cs="仿宋"/>
          <w:color w:val="000000"/>
          <w:sz w:val="24"/>
        </w:rPr>
        <w:t>6.在竞得成功后，无正当理由推翻成交价或拒绝签订合同的；</w:t>
      </w:r>
    </w:p>
    <w:p w14:paraId="4C105077">
      <w:pPr>
        <w:spacing w:line="400" w:lineRule="exact"/>
        <w:ind w:firstLine="480" w:firstLineChars="200"/>
        <w:rPr>
          <w:rFonts w:ascii="仿宋" w:hAnsi="仿宋" w:eastAsia="仿宋" w:cs="仿宋"/>
          <w:color w:val="000000"/>
          <w:sz w:val="24"/>
        </w:rPr>
      </w:pPr>
      <w:r>
        <w:rPr>
          <w:rFonts w:hint="eastAsia" w:ascii="仿宋" w:hAnsi="仿宋" w:eastAsia="仿宋" w:cs="仿宋"/>
          <w:color w:val="000000"/>
          <w:sz w:val="24"/>
        </w:rPr>
        <w:t>7.履约过程中，未经农村集体同意，累计3次未按照合同约定交纳租金（承包金）的；</w:t>
      </w:r>
    </w:p>
    <w:p w14:paraId="33B19994">
      <w:pPr>
        <w:spacing w:line="400" w:lineRule="exact"/>
        <w:ind w:firstLine="480" w:firstLineChars="200"/>
        <w:rPr>
          <w:rFonts w:ascii="仿宋" w:hAnsi="仿宋" w:eastAsia="仿宋" w:cs="仿宋"/>
          <w:color w:val="000000"/>
          <w:sz w:val="24"/>
        </w:rPr>
      </w:pPr>
      <w:r>
        <w:rPr>
          <w:rFonts w:hint="eastAsia" w:ascii="仿宋" w:hAnsi="仿宋" w:eastAsia="仿宋" w:cs="仿宋"/>
          <w:color w:val="000000"/>
          <w:sz w:val="24"/>
        </w:rPr>
        <w:t>8.合同到期后，未按照合同约定交还标的物的；</w:t>
      </w:r>
    </w:p>
    <w:p w14:paraId="4B054DA8">
      <w:pPr>
        <w:spacing w:line="400" w:lineRule="exact"/>
        <w:ind w:firstLine="480" w:firstLineChars="200"/>
        <w:rPr>
          <w:rFonts w:ascii="仿宋" w:hAnsi="仿宋" w:eastAsia="仿宋" w:cs="仿宋"/>
          <w:color w:val="000000"/>
          <w:sz w:val="24"/>
        </w:rPr>
      </w:pPr>
      <w:r>
        <w:rPr>
          <w:rFonts w:hint="eastAsia" w:ascii="仿宋" w:hAnsi="仿宋" w:eastAsia="仿宋" w:cs="仿宋"/>
          <w:color w:val="000000"/>
          <w:sz w:val="24"/>
        </w:rPr>
        <w:t>9.其他违背诚实信用原则的行为。</w:t>
      </w:r>
    </w:p>
    <w:p w14:paraId="5DFC9489">
      <w:pPr>
        <w:spacing w:line="400" w:lineRule="exact"/>
        <w:ind w:firstLine="480" w:firstLineChars="200"/>
        <w:rPr>
          <w:rFonts w:ascii="仿宋" w:hAnsi="仿宋" w:eastAsia="仿宋" w:cs="仿宋"/>
          <w:color w:val="000000"/>
          <w:sz w:val="24"/>
        </w:rPr>
      </w:pPr>
      <w:r>
        <w:rPr>
          <w:rFonts w:hint="eastAsia" w:ascii="仿宋" w:hAnsi="仿宋" w:eastAsia="仿宋" w:cs="仿宋"/>
          <w:color w:val="000000"/>
          <w:sz w:val="24"/>
        </w:rPr>
        <w:t>被列入天河区农村集体资产交易信用评价黑名单的竞投人或承租（承包）人，管理平台交易系统3年内（含3年）</w:t>
      </w:r>
      <w:r>
        <w:rPr>
          <w:rFonts w:hint="eastAsia" w:ascii="仿宋" w:hAnsi="仿宋" w:eastAsia="仿宋" w:cs="仿宋"/>
          <w:b/>
          <w:color w:val="000000"/>
          <w:sz w:val="24"/>
        </w:rPr>
        <w:t>禁止</w:t>
      </w:r>
      <w:r>
        <w:rPr>
          <w:rFonts w:hint="eastAsia" w:ascii="仿宋" w:hAnsi="仿宋" w:eastAsia="仿宋" w:cs="仿宋"/>
          <w:color w:val="000000"/>
          <w:sz w:val="24"/>
        </w:rPr>
        <w:t>参与竞投。</w:t>
      </w:r>
    </w:p>
    <w:p w14:paraId="394023E9">
      <w:pPr>
        <w:spacing w:line="400" w:lineRule="exact"/>
        <w:ind w:firstLine="480" w:firstLineChars="200"/>
        <w:rPr>
          <w:rFonts w:ascii="仿宋" w:hAnsi="仿宋" w:eastAsia="仿宋" w:cs="仿宋"/>
          <w:color w:val="000000"/>
          <w:sz w:val="24"/>
        </w:rPr>
      </w:pPr>
      <w:r>
        <w:rPr>
          <w:rFonts w:hint="eastAsia" w:ascii="仿宋" w:hAnsi="仿宋" w:eastAsia="仿宋" w:cs="仿宋"/>
          <w:color w:val="000000"/>
          <w:sz w:val="24"/>
        </w:rPr>
        <w:t>（九）农村集体资产进行网上交易时，街道交易管理机构应当组织监督小组登录广州市天河区农村集体资产管理平台http://szjy.thnet.gov.cn/的【网上竞投】模块内每个项目的展示窗见证监督。监督小组人数在4名以上，成员由经济联社领导班子成员或经济社理事会、监事会及街道交易管理机构、纪检监察联络站成员组成。</w:t>
      </w:r>
    </w:p>
    <w:p w14:paraId="4EED7B3B">
      <w:pPr>
        <w:spacing w:line="400" w:lineRule="exact"/>
        <w:ind w:firstLine="480" w:firstLineChars="200"/>
        <w:rPr>
          <w:rFonts w:ascii="仿宋" w:hAnsi="仿宋" w:eastAsia="仿宋" w:cs="仿宋"/>
          <w:color w:val="000000"/>
          <w:sz w:val="24"/>
        </w:rPr>
      </w:pPr>
      <w:r>
        <w:rPr>
          <w:rFonts w:hint="eastAsia" w:ascii="仿宋" w:hAnsi="仿宋" w:eastAsia="仿宋" w:cs="仿宋"/>
          <w:color w:val="000000"/>
          <w:sz w:val="24"/>
        </w:rPr>
        <w:t>（十）交易关系利害人对交易过程或结果有异议的，可向区农业农村局、街道办事处或纪检监察部门进行投诉。</w:t>
      </w:r>
    </w:p>
    <w:p w14:paraId="0F9F6C9F">
      <w:pPr>
        <w:spacing w:line="400" w:lineRule="exact"/>
        <w:ind w:firstLine="480" w:firstLineChars="200"/>
        <w:rPr>
          <w:rFonts w:ascii="仿宋" w:hAnsi="仿宋" w:eastAsia="仿宋" w:cs="仿宋"/>
          <w:color w:val="000000"/>
          <w:sz w:val="24"/>
        </w:rPr>
      </w:pPr>
      <w:r>
        <w:rPr>
          <w:rFonts w:hint="eastAsia" w:ascii="仿宋" w:hAnsi="仿宋" w:eastAsia="仿宋" w:cs="仿宋"/>
          <w:color w:val="000000"/>
          <w:sz w:val="24"/>
        </w:rPr>
        <w:t>（十一）在农村集体资产交易合同履行过程中，发生纠纷的，可依据合同约定途径解决，没有约定的，可依法向天河区人民法院提起诉讼。</w:t>
      </w:r>
    </w:p>
    <w:p w14:paraId="74D3C557">
      <w:pPr>
        <w:spacing w:line="400" w:lineRule="exact"/>
        <w:ind w:firstLine="480" w:firstLineChars="200"/>
        <w:rPr>
          <w:rFonts w:ascii="仿宋" w:hAnsi="仿宋" w:eastAsia="仿宋" w:cs="仿宋"/>
          <w:sz w:val="24"/>
        </w:rPr>
      </w:pPr>
      <w:r>
        <w:rPr>
          <w:rFonts w:hint="eastAsia" w:ascii="仿宋" w:hAnsi="仿宋" w:eastAsia="仿宋" w:cs="仿宋"/>
          <w:color w:val="000000"/>
          <w:sz w:val="24"/>
        </w:rPr>
        <w:t>（十二）天河区农村集体资产交易规则依据《天河区农村集体资产交易管理实施细则》制定，遵循民主决策、平等有偿、诚实守信、公开、公平、公正的原则。</w:t>
      </w:r>
    </w:p>
    <w:p w14:paraId="359922EF">
      <w:pPr>
        <w:pStyle w:val="17"/>
        <w:spacing w:line="400" w:lineRule="exact"/>
        <w:jc w:val="both"/>
        <w:rPr>
          <w:rFonts w:ascii="仿宋" w:hAnsi="仿宋" w:eastAsia="仿宋" w:cs="仿宋"/>
          <w:b/>
          <w:bCs/>
          <w:sz w:val="24"/>
        </w:rPr>
      </w:pPr>
    </w:p>
    <w:p w14:paraId="1F5F9320">
      <w:pPr>
        <w:rPr>
          <w:rFonts w:ascii="仿宋" w:hAnsi="仿宋" w:eastAsia="仿宋" w:cs="仿宋"/>
          <w:b/>
          <w:bCs/>
          <w:sz w:val="32"/>
          <w:szCs w:val="32"/>
        </w:rPr>
      </w:pPr>
      <w:r>
        <w:rPr>
          <w:rFonts w:hint="eastAsia" w:ascii="仿宋" w:hAnsi="仿宋" w:eastAsia="仿宋" w:cs="仿宋"/>
          <w:b/>
          <w:bCs/>
          <w:sz w:val="32"/>
          <w:szCs w:val="32"/>
        </w:rPr>
        <w:br w:type="page"/>
      </w:r>
    </w:p>
    <w:p w14:paraId="5387FE2E">
      <w:pPr>
        <w:pStyle w:val="17"/>
        <w:spacing w:line="400" w:lineRule="exact"/>
        <w:jc w:val="center"/>
        <w:rPr>
          <w:rFonts w:ascii="宋体" w:hAnsi="宋体" w:cs="宋体"/>
          <w:bCs/>
          <w:spacing w:val="40"/>
          <w:sz w:val="32"/>
          <w:szCs w:val="32"/>
        </w:rPr>
      </w:pPr>
      <w:r>
        <w:rPr>
          <w:rFonts w:hint="eastAsia" w:ascii="宋体" w:hAnsi="宋体" w:cs="宋体"/>
          <w:b/>
          <w:bCs/>
          <w:sz w:val="32"/>
          <w:szCs w:val="32"/>
        </w:rPr>
        <w:t>第四部分  合同要求</w:t>
      </w:r>
      <w:bookmarkStart w:id="13" w:name="_Toc322033402"/>
      <w:bookmarkStart w:id="14" w:name="_Toc263336367"/>
      <w:bookmarkStart w:id="15" w:name="_Toc263670121"/>
      <w:bookmarkStart w:id="16" w:name="_Toc263437593"/>
      <w:bookmarkStart w:id="17" w:name="_Toc13659"/>
      <w:bookmarkStart w:id="18" w:name="_Toc322033398"/>
    </w:p>
    <w:p w14:paraId="410BA699">
      <w:pPr>
        <w:pStyle w:val="122"/>
        <w:keepNext w:val="0"/>
        <w:spacing w:before="200" w:line="400" w:lineRule="exact"/>
        <w:jc w:val="both"/>
        <w:rPr>
          <w:rFonts w:ascii="仿宋" w:hAnsi="仿宋" w:eastAsia="仿宋" w:cs="仿宋"/>
          <w:bCs w:val="0"/>
          <w:sz w:val="24"/>
          <w:szCs w:val="24"/>
        </w:rPr>
      </w:pPr>
      <w:r>
        <w:rPr>
          <w:rFonts w:hint="eastAsia" w:ascii="仿宋" w:hAnsi="仿宋" w:eastAsia="仿宋" w:cs="仿宋"/>
          <w:bCs w:val="0"/>
          <w:sz w:val="24"/>
          <w:szCs w:val="24"/>
        </w:rPr>
        <w:t>一、合同要点</w:t>
      </w:r>
    </w:p>
    <w:p w14:paraId="01AFE22B">
      <w:pPr>
        <w:pStyle w:val="122"/>
        <w:keepNext w:val="0"/>
        <w:spacing w:line="400" w:lineRule="exact"/>
        <w:ind w:firstLine="480" w:firstLineChars="200"/>
        <w:jc w:val="both"/>
        <w:rPr>
          <w:rFonts w:hint="eastAsia" w:ascii="仿宋" w:hAnsi="仿宋" w:eastAsia="仿宋" w:cs="仿宋"/>
          <w:b w:val="0"/>
          <w:sz w:val="24"/>
          <w:szCs w:val="24"/>
          <w:lang w:eastAsia="zh-CN"/>
        </w:rPr>
      </w:pPr>
      <w:r>
        <w:rPr>
          <w:rFonts w:hint="eastAsia" w:ascii="仿宋" w:hAnsi="仿宋" w:eastAsia="仿宋" w:cs="仿宋"/>
          <w:b w:val="0"/>
          <w:sz w:val="24"/>
          <w:szCs w:val="24"/>
        </w:rPr>
        <w:t>（一）竞得人应在竞投结果公示期满后</w:t>
      </w:r>
      <w:r>
        <w:rPr>
          <w:rFonts w:hint="eastAsia" w:ascii="仿宋" w:hAnsi="仿宋" w:eastAsia="仿宋" w:cs="仿宋"/>
          <w:b w:val="0"/>
          <w:sz w:val="24"/>
          <w:szCs w:val="24"/>
          <w:u w:val="single"/>
        </w:rPr>
        <w:t>5</w:t>
      </w:r>
      <w:r>
        <w:rPr>
          <w:rFonts w:hint="eastAsia" w:ascii="仿宋" w:hAnsi="仿宋" w:eastAsia="仿宋" w:cs="仿宋"/>
          <w:b w:val="0"/>
          <w:sz w:val="24"/>
          <w:szCs w:val="24"/>
        </w:rPr>
        <w:t>个工作日内与项目业主方签订合同</w:t>
      </w:r>
      <w:r>
        <w:rPr>
          <w:rFonts w:hint="eastAsia" w:ascii="仿宋" w:hAnsi="仿宋" w:eastAsia="仿宋" w:cs="仿宋"/>
          <w:b w:val="0"/>
          <w:sz w:val="24"/>
          <w:szCs w:val="24"/>
          <w:lang w:eastAsia="zh-CN"/>
        </w:rPr>
        <w:t>。</w:t>
      </w:r>
    </w:p>
    <w:p w14:paraId="16CD4365">
      <w:pPr>
        <w:pStyle w:val="122"/>
        <w:keepNext w:val="0"/>
        <w:spacing w:line="400" w:lineRule="exact"/>
        <w:ind w:firstLine="480" w:firstLineChars="200"/>
        <w:jc w:val="both"/>
        <w:rPr>
          <w:rFonts w:ascii="仿宋" w:hAnsi="仿宋" w:eastAsia="仿宋" w:cs="仿宋"/>
          <w:b w:val="0"/>
          <w:sz w:val="24"/>
          <w:szCs w:val="24"/>
        </w:rPr>
      </w:pPr>
      <w:r>
        <w:rPr>
          <w:rFonts w:hint="eastAsia" w:ascii="仿宋" w:hAnsi="仿宋" w:eastAsia="仿宋" w:cs="仿宋"/>
          <w:b w:val="0"/>
          <w:sz w:val="24"/>
          <w:szCs w:val="24"/>
        </w:rPr>
        <w:t>（二）合同履约保证金：在本合同签订前，乙方须一次性向甲方交纳</w:t>
      </w:r>
      <w:r>
        <w:rPr>
          <w:rFonts w:hint="eastAsia" w:ascii="仿宋" w:hAnsi="仿宋" w:eastAsia="仿宋" w:cs="仿宋"/>
          <w:b/>
          <w:bCs w:val="0"/>
          <w:color w:val="auto"/>
          <w:sz w:val="24"/>
          <w:szCs w:val="24"/>
          <w:u w:val="single"/>
        </w:rPr>
        <w:t>人民币</w:t>
      </w:r>
      <w:r>
        <w:rPr>
          <w:rFonts w:hint="eastAsia" w:ascii="仿宋" w:hAnsi="仿宋" w:eastAsia="仿宋" w:cs="仿宋"/>
          <w:b/>
          <w:bCs w:val="0"/>
          <w:color w:val="auto"/>
          <w:sz w:val="24"/>
          <w:szCs w:val="24"/>
          <w:u w:val="single"/>
          <w:lang w:val="en-US" w:eastAsia="zh-CN"/>
        </w:rPr>
        <w:t>3500000元（大写：叁佰伍拾万元整）</w:t>
      </w:r>
      <w:r>
        <w:rPr>
          <w:rFonts w:hint="eastAsia" w:ascii="仿宋" w:hAnsi="仿宋" w:eastAsia="仿宋" w:cs="仿宋"/>
          <w:b w:val="0"/>
          <w:sz w:val="24"/>
          <w:szCs w:val="24"/>
        </w:rPr>
        <w:t>作为履行本合同的保证金。</w:t>
      </w:r>
      <w:r>
        <w:rPr>
          <w:rFonts w:hint="eastAsia" w:ascii="仿宋" w:hAnsi="仿宋" w:eastAsia="仿宋"/>
          <w:b w:val="0"/>
          <w:sz w:val="24"/>
          <w:szCs w:val="24"/>
        </w:rPr>
        <w:t>保证金不计利息，不抵作租金。租赁期届满，如乙方无违约行为，保证金全额无息退回给乙方；如乙方中途自行退租或违反本合同有关条款，视作违约处理，甲方有权单方解除合同，保证金归甲方所有，且收回乙方租赁上述标的物的使用权。</w:t>
      </w:r>
    </w:p>
    <w:p w14:paraId="7978016E">
      <w:pPr>
        <w:adjustRightInd w:val="0"/>
        <w:spacing w:line="400" w:lineRule="exact"/>
        <w:ind w:firstLine="480" w:firstLineChars="200"/>
        <w:rPr>
          <w:rFonts w:ascii="仿宋" w:hAnsi="仿宋" w:eastAsia="仿宋" w:cs="仿宋"/>
          <w:sz w:val="24"/>
        </w:rPr>
      </w:pPr>
      <w:r>
        <w:rPr>
          <w:rFonts w:hint="eastAsia" w:ascii="仿宋" w:hAnsi="仿宋" w:eastAsia="仿宋" w:cs="仿宋"/>
          <w:sz w:val="24"/>
        </w:rPr>
        <w:t>（三）</w:t>
      </w:r>
      <w:r>
        <w:rPr>
          <w:rFonts w:hint="eastAsia" w:ascii="仿宋" w:hAnsi="仿宋" w:eastAsia="仿宋"/>
          <w:spacing w:val="-2"/>
          <w:kern w:val="15"/>
          <w:sz w:val="24"/>
        </w:rPr>
        <w:t>项目业主单位基于自身经营情况，可能会安排一家或多家下属公司（例如物业公司）与竞得人签订一份或多份合同，合同总价与竞得价格一致，竞得人应无条件接受。</w:t>
      </w:r>
    </w:p>
    <w:p w14:paraId="14E4D796">
      <w:pPr>
        <w:adjustRightInd w:val="0"/>
        <w:spacing w:line="400" w:lineRule="exact"/>
        <w:ind w:firstLine="480" w:firstLineChars="200"/>
        <w:rPr>
          <w:rFonts w:ascii="仿宋" w:hAnsi="仿宋" w:eastAsia="仿宋" w:cs="仿宋"/>
          <w:sz w:val="24"/>
        </w:rPr>
      </w:pPr>
      <w:r>
        <w:rPr>
          <w:rFonts w:hint="eastAsia" w:ascii="仿宋" w:hAnsi="仿宋" w:eastAsia="仿宋" w:cs="仿宋"/>
          <w:sz w:val="24"/>
        </w:rPr>
        <w:t>（四）</w:t>
      </w:r>
      <w:bookmarkStart w:id="19" w:name="_Toc391912327"/>
      <w:bookmarkStart w:id="20" w:name="_Toc391912304"/>
      <w:r>
        <w:rPr>
          <w:rFonts w:hint="eastAsia" w:ascii="仿宋" w:hAnsi="仿宋" w:eastAsia="仿宋"/>
          <w:spacing w:val="-2"/>
          <w:kern w:val="15"/>
          <w:sz w:val="24"/>
        </w:rPr>
        <w:t>在填写合同条款中，如没有内容填写，请注明“无”，并保持主体框架内容不变。如有需要，可依据实际情况增列内容。</w:t>
      </w:r>
    </w:p>
    <w:p w14:paraId="56327577">
      <w:pPr>
        <w:adjustRightInd w:val="0"/>
        <w:spacing w:line="400" w:lineRule="exact"/>
        <w:rPr>
          <w:rFonts w:ascii="仿宋" w:hAnsi="仿宋" w:eastAsia="仿宋" w:cs="仿宋"/>
          <w:b/>
          <w:sz w:val="24"/>
        </w:rPr>
      </w:pPr>
      <w:r>
        <w:rPr>
          <w:rFonts w:hint="eastAsia" w:ascii="仿宋" w:hAnsi="仿宋" w:eastAsia="仿宋" w:cs="仿宋"/>
          <w:b/>
          <w:sz w:val="24"/>
        </w:rPr>
        <w:t>二、合同指导文本</w:t>
      </w:r>
      <w:bookmarkEnd w:id="19"/>
      <w:bookmarkEnd w:id="20"/>
    </w:p>
    <w:p w14:paraId="61554267">
      <w:pPr>
        <w:rPr>
          <w:rFonts w:ascii="仿宋" w:hAnsi="仿宋" w:eastAsia="仿宋" w:cs="仿宋"/>
          <w:b/>
          <w:sz w:val="24"/>
        </w:rPr>
      </w:pPr>
      <w:r>
        <w:rPr>
          <w:rFonts w:hint="eastAsia" w:ascii="仿宋" w:hAnsi="仿宋" w:eastAsia="仿宋" w:cs="仿宋"/>
          <w:b/>
          <w:sz w:val="24"/>
        </w:rPr>
        <w:br w:type="page"/>
      </w:r>
    </w:p>
    <w:p w14:paraId="093C5CF9">
      <w:pPr>
        <w:adjustRightInd w:val="0"/>
        <w:spacing w:line="400" w:lineRule="exact"/>
        <w:rPr>
          <w:rFonts w:ascii="仿宋" w:hAnsi="仿宋" w:eastAsia="仿宋" w:cs="仿宋"/>
          <w:b/>
          <w:sz w:val="24"/>
        </w:rPr>
      </w:pPr>
    </w:p>
    <w:p w14:paraId="00792BF4">
      <w:pPr>
        <w:widowControl/>
        <w:spacing w:before="100" w:line="400" w:lineRule="exact"/>
        <w:rPr>
          <w:rFonts w:ascii="仿宋" w:hAnsi="仿宋" w:eastAsia="仿宋" w:cs="仿宋"/>
          <w:b/>
          <w:sz w:val="24"/>
        </w:rPr>
      </w:pPr>
      <w:r>
        <w:rPr>
          <w:rFonts w:hint="eastAsia" w:ascii="仿宋" w:hAnsi="仿宋" w:eastAsia="仿宋" w:cs="仿宋"/>
          <w:sz w:val="24"/>
        </w:rPr>
        <w:t>合同编号：</w:t>
      </w:r>
      <w:r>
        <w:rPr>
          <w:rFonts w:hint="eastAsia" w:ascii="仿宋" w:hAnsi="仿宋" w:eastAsia="仿宋" w:cs="仿宋"/>
          <w:sz w:val="24"/>
          <w:u w:val="single"/>
        </w:rPr>
        <w:t xml:space="preserve">               </w:t>
      </w:r>
      <w:r>
        <w:rPr>
          <w:rFonts w:hint="eastAsia" w:ascii="仿宋" w:hAnsi="仿宋" w:eastAsia="仿宋" w:cs="仿宋"/>
          <w:sz w:val="24"/>
        </w:rPr>
        <w:t xml:space="preserve"> </w:t>
      </w:r>
    </w:p>
    <w:p w14:paraId="5D01C51C">
      <w:pPr>
        <w:spacing w:line="360" w:lineRule="auto"/>
        <w:jc w:val="left"/>
        <w:rPr>
          <w:rFonts w:ascii="宋体" w:hAnsi="宋体"/>
        </w:rPr>
      </w:pPr>
    </w:p>
    <w:bookmarkEnd w:id="13"/>
    <w:bookmarkEnd w:id="14"/>
    <w:bookmarkEnd w:id="15"/>
    <w:bookmarkEnd w:id="16"/>
    <w:bookmarkEnd w:id="17"/>
    <w:bookmarkEnd w:id="18"/>
    <w:p w14:paraId="26C2CC30">
      <w:pPr>
        <w:spacing w:before="100" w:line="400" w:lineRule="exact"/>
        <w:jc w:val="center"/>
        <w:rPr>
          <w:rFonts w:ascii="仿宋" w:hAnsi="仿宋" w:eastAsia="仿宋" w:cs="仿宋"/>
          <w:b/>
          <w:sz w:val="36"/>
          <w:szCs w:val="36"/>
        </w:rPr>
      </w:pPr>
      <w:r>
        <w:rPr>
          <w:rFonts w:hint="eastAsia" w:ascii="仿宋" w:hAnsi="仿宋" w:eastAsia="仿宋" w:cs="仿宋"/>
          <w:b/>
          <w:sz w:val="36"/>
          <w:szCs w:val="36"/>
        </w:rPr>
        <w:t>天河区农村集体资产交易</w:t>
      </w:r>
    </w:p>
    <w:p w14:paraId="58482AAB">
      <w:pPr>
        <w:spacing w:line="400" w:lineRule="exact"/>
        <w:jc w:val="center"/>
        <w:rPr>
          <w:rFonts w:ascii="仿宋" w:hAnsi="仿宋" w:eastAsia="仿宋" w:cs="仿宋"/>
          <w:b/>
          <w:color w:val="auto"/>
          <w:sz w:val="36"/>
          <w:szCs w:val="36"/>
        </w:rPr>
      </w:pPr>
      <w:r>
        <w:rPr>
          <w:rFonts w:hint="eastAsia" w:ascii="仿宋" w:hAnsi="仿宋" w:eastAsia="仿宋" w:cs="仿宋"/>
          <w:b/>
          <w:color w:val="auto"/>
          <w:sz w:val="36"/>
          <w:szCs w:val="36"/>
        </w:rPr>
        <w:t>物业</w:t>
      </w:r>
      <w:r>
        <w:rPr>
          <w:rFonts w:hint="eastAsia" w:ascii="仿宋" w:hAnsi="仿宋" w:eastAsia="仿宋" w:cs="仿宋"/>
          <w:b/>
          <w:color w:val="auto"/>
          <w:sz w:val="36"/>
          <w:szCs w:val="36"/>
          <w:lang w:eastAsia="zh-CN"/>
        </w:rPr>
        <w:t>及场地</w:t>
      </w:r>
      <w:r>
        <w:rPr>
          <w:rFonts w:hint="eastAsia" w:ascii="仿宋" w:hAnsi="仿宋" w:eastAsia="仿宋" w:cs="仿宋"/>
          <w:b/>
          <w:color w:val="auto"/>
          <w:sz w:val="36"/>
          <w:szCs w:val="36"/>
        </w:rPr>
        <w:t>租赁合同</w:t>
      </w:r>
    </w:p>
    <w:p w14:paraId="1C10E50C">
      <w:pPr>
        <w:spacing w:line="400" w:lineRule="exact"/>
        <w:jc w:val="center"/>
        <w:rPr>
          <w:rFonts w:ascii="仿宋" w:hAnsi="仿宋" w:eastAsia="仿宋" w:cs="仿宋"/>
          <w:b/>
          <w:sz w:val="36"/>
          <w:szCs w:val="36"/>
        </w:rPr>
      </w:pPr>
    </w:p>
    <w:p w14:paraId="5F3EC4F3">
      <w:pPr>
        <w:spacing w:before="100" w:line="400" w:lineRule="exact"/>
        <w:rPr>
          <w:rFonts w:hint="eastAsia" w:ascii="仿宋" w:hAnsi="仿宋" w:eastAsia="仿宋" w:cs="仿宋"/>
          <w:sz w:val="28"/>
          <w:szCs w:val="28"/>
          <w:u w:val="single"/>
          <w:lang w:eastAsia="zh-CN"/>
        </w:rPr>
      </w:pPr>
      <w:r>
        <w:rPr>
          <w:rFonts w:hint="eastAsia" w:ascii="仿宋" w:hAnsi="仿宋" w:eastAsia="仿宋" w:cs="仿宋"/>
          <w:sz w:val="28"/>
          <w:szCs w:val="28"/>
        </w:rPr>
        <w:t>出租方（以下简称甲方）：</w:t>
      </w:r>
      <w:r>
        <w:rPr>
          <w:rFonts w:hint="eastAsia" w:ascii="仿宋" w:hAnsi="仿宋" w:eastAsia="仿宋" w:cs="仿宋"/>
          <w:sz w:val="28"/>
          <w:szCs w:val="28"/>
          <w:u w:val="single"/>
        </w:rPr>
        <w:t>广州市前进置业发展有限公司</w:t>
      </w:r>
    </w:p>
    <w:p w14:paraId="1C128727">
      <w:pPr>
        <w:spacing w:line="400" w:lineRule="exact"/>
        <w:rPr>
          <w:rFonts w:ascii="仿宋" w:hAnsi="仿宋" w:eastAsia="仿宋" w:cs="仿宋"/>
          <w:sz w:val="28"/>
          <w:szCs w:val="28"/>
          <w:u w:val="single"/>
        </w:rPr>
      </w:pPr>
      <w:r>
        <w:rPr>
          <w:rFonts w:hint="eastAsia" w:ascii="仿宋" w:hAnsi="仿宋" w:eastAsia="仿宋" w:cs="仿宋"/>
          <w:sz w:val="28"/>
          <w:szCs w:val="28"/>
        </w:rPr>
        <w:t>承租方（以下简称乙方）：</w:t>
      </w:r>
      <w:r>
        <w:rPr>
          <w:rFonts w:hint="eastAsia" w:ascii="仿宋" w:hAnsi="仿宋" w:eastAsia="仿宋" w:cs="仿宋"/>
          <w:sz w:val="28"/>
          <w:szCs w:val="28"/>
          <w:u w:val="single"/>
        </w:rPr>
        <w:t xml:space="preserve">                                        </w:t>
      </w:r>
    </w:p>
    <w:p w14:paraId="18B838EE">
      <w:pPr>
        <w:spacing w:line="400" w:lineRule="exact"/>
        <w:ind w:firstLine="560" w:firstLineChars="200"/>
        <w:rPr>
          <w:rFonts w:ascii="仿宋_GB2312" w:eastAsia="仿宋_GB2312"/>
          <w:sz w:val="28"/>
          <w:szCs w:val="28"/>
        </w:rPr>
      </w:pPr>
      <w:r>
        <w:rPr>
          <w:rFonts w:hint="eastAsia" w:ascii="仿宋_GB2312" w:eastAsia="仿宋_GB2312"/>
          <w:sz w:val="28"/>
          <w:szCs w:val="28"/>
        </w:rPr>
        <w:t>为规范租赁行为，维护租赁双方当事人的合法权益，根据有关法律法规规定，甲乙双方本着平等、自愿、诚实、守信的原则，经友好协商，订立本合同。</w:t>
      </w:r>
    </w:p>
    <w:p w14:paraId="785DA9E7">
      <w:pPr>
        <w:adjustRightInd w:val="0"/>
        <w:snapToGrid w:val="0"/>
        <w:spacing w:line="400" w:lineRule="exact"/>
        <w:ind w:firstLine="281" w:firstLineChars="100"/>
        <w:outlineLvl w:val="1"/>
        <w:rPr>
          <w:rFonts w:ascii="仿宋" w:hAnsi="仿宋" w:eastAsia="仿宋" w:cs="仿宋"/>
          <w:sz w:val="28"/>
          <w:szCs w:val="28"/>
        </w:rPr>
      </w:pPr>
      <w:r>
        <w:rPr>
          <w:rFonts w:hint="eastAsia" w:ascii="仿宋" w:hAnsi="仿宋" w:eastAsia="仿宋" w:cs="仿宋"/>
          <w:b/>
          <w:sz w:val="28"/>
          <w:szCs w:val="28"/>
        </w:rPr>
        <w:t xml:space="preserve">第一条  </w:t>
      </w:r>
      <w:r>
        <w:rPr>
          <w:rFonts w:hint="eastAsia" w:ascii="仿宋" w:hAnsi="仿宋" w:eastAsia="仿宋" w:cs="仿宋"/>
          <w:sz w:val="28"/>
          <w:szCs w:val="28"/>
        </w:rPr>
        <w:t>甲方将位于</w:t>
      </w:r>
      <w:r>
        <w:rPr>
          <w:rFonts w:hint="eastAsia" w:ascii="仿宋" w:hAnsi="仿宋" w:eastAsia="仿宋" w:cs="仿宋"/>
          <w:sz w:val="28"/>
          <w:szCs w:val="28"/>
          <w:u w:val="single"/>
        </w:rPr>
        <w:t>广州市天河区前进街黄埔大道</w:t>
      </w:r>
      <w:r>
        <w:rPr>
          <w:rFonts w:hint="eastAsia" w:ascii="仿宋" w:hAnsi="仿宋" w:eastAsia="仿宋" w:cs="仿宋"/>
          <w:sz w:val="28"/>
          <w:szCs w:val="28"/>
          <w:u w:val="single"/>
          <w:lang w:val="en-US" w:eastAsia="zh-CN"/>
        </w:rPr>
        <w:t>555</w:t>
      </w:r>
      <w:r>
        <w:rPr>
          <w:rFonts w:hint="eastAsia" w:ascii="仿宋" w:hAnsi="仿宋" w:eastAsia="仿宋" w:cs="仿宋"/>
          <w:sz w:val="28"/>
          <w:szCs w:val="28"/>
          <w:u w:val="single"/>
        </w:rPr>
        <w:t>号物业及场地</w:t>
      </w:r>
      <w:r>
        <w:rPr>
          <w:rFonts w:hint="eastAsia" w:ascii="仿宋" w:hAnsi="仿宋" w:eastAsia="仿宋" w:cs="仿宋"/>
          <w:color w:val="auto"/>
          <w:sz w:val="28"/>
          <w:szCs w:val="28"/>
          <w:u w:val="single"/>
        </w:rPr>
        <w:t>（土名：</w:t>
      </w:r>
      <w:r>
        <w:rPr>
          <w:rFonts w:hint="eastAsia" w:ascii="仿宋" w:hAnsi="仿宋" w:eastAsia="仿宋" w:cs="仿宋"/>
          <w:color w:val="auto"/>
          <w:sz w:val="28"/>
          <w:szCs w:val="28"/>
          <w:u w:val="single"/>
          <w:lang w:eastAsia="zh-CN"/>
        </w:rPr>
        <w:t>大布</w:t>
      </w:r>
      <w:r>
        <w:rPr>
          <w:rFonts w:hint="eastAsia" w:ascii="仿宋" w:hAnsi="仿宋" w:eastAsia="仿宋" w:cs="仿宋"/>
          <w:color w:val="auto"/>
          <w:sz w:val="28"/>
          <w:szCs w:val="28"/>
          <w:u w:val="single"/>
        </w:rPr>
        <w:t>）</w:t>
      </w:r>
      <w:r>
        <w:rPr>
          <w:rFonts w:hint="eastAsia" w:ascii="仿宋" w:hAnsi="仿宋" w:eastAsia="仿宋" w:cs="仿宋"/>
          <w:color w:val="auto"/>
          <w:sz w:val="28"/>
          <w:szCs w:val="28"/>
        </w:rPr>
        <w:t>出租给乙方，该物业</w:t>
      </w:r>
      <w:r>
        <w:rPr>
          <w:rFonts w:hint="eastAsia" w:ascii="仿宋" w:hAnsi="仿宋" w:eastAsia="仿宋" w:cs="仿宋"/>
          <w:color w:val="auto"/>
          <w:sz w:val="28"/>
          <w:szCs w:val="28"/>
          <w:lang w:eastAsia="zh-CN"/>
        </w:rPr>
        <w:t>及场地</w:t>
      </w:r>
      <w:r>
        <w:rPr>
          <w:rFonts w:hint="eastAsia" w:ascii="仿宋" w:hAnsi="仿宋" w:eastAsia="仿宋" w:cs="仿宋"/>
          <w:color w:val="auto"/>
          <w:sz w:val="28"/>
          <w:szCs w:val="28"/>
        </w:rPr>
        <w:t>出租总面积</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u w:val="single"/>
          <w:lang w:val="en-US" w:eastAsia="zh-CN"/>
        </w:rPr>
        <w:t xml:space="preserve">22489.10 </w:t>
      </w:r>
      <w:r>
        <w:rPr>
          <w:rFonts w:hint="eastAsia" w:ascii="仿宋" w:hAnsi="仿宋" w:eastAsia="仿宋" w:cs="仿宋"/>
          <w:color w:val="auto"/>
          <w:sz w:val="28"/>
          <w:szCs w:val="28"/>
          <w:u w:val="single"/>
        </w:rPr>
        <w:t>平方米（其中：物业建筑面积：</w:t>
      </w:r>
      <w:r>
        <w:rPr>
          <w:rFonts w:hint="eastAsia" w:ascii="仿宋" w:hAnsi="仿宋" w:eastAsia="仿宋" w:cs="仿宋"/>
          <w:color w:val="auto"/>
          <w:sz w:val="28"/>
          <w:szCs w:val="28"/>
          <w:u w:val="single"/>
          <w:lang w:val="en-US" w:eastAsia="zh-CN"/>
        </w:rPr>
        <w:t>17373.82</w:t>
      </w:r>
      <w:r>
        <w:rPr>
          <w:rFonts w:hint="eastAsia" w:ascii="仿宋" w:hAnsi="仿宋" w:eastAsia="仿宋" w:cs="仿宋"/>
          <w:color w:val="auto"/>
          <w:sz w:val="28"/>
          <w:szCs w:val="28"/>
          <w:u w:val="single"/>
        </w:rPr>
        <w:t>平方米，场地面积：</w:t>
      </w:r>
      <w:r>
        <w:rPr>
          <w:rFonts w:hint="eastAsia" w:ascii="仿宋" w:hAnsi="仿宋" w:eastAsia="仿宋" w:cs="仿宋"/>
          <w:color w:val="auto"/>
          <w:sz w:val="28"/>
          <w:szCs w:val="28"/>
          <w:u w:val="single"/>
          <w:lang w:val="en-US" w:eastAsia="zh-CN"/>
        </w:rPr>
        <w:t>5115.28</w:t>
      </w:r>
      <w:r>
        <w:rPr>
          <w:rFonts w:hint="eastAsia" w:ascii="仿宋" w:hAnsi="仿宋" w:eastAsia="仿宋" w:cs="仿宋"/>
          <w:color w:val="auto"/>
          <w:sz w:val="28"/>
          <w:szCs w:val="28"/>
          <w:u w:val="single"/>
        </w:rPr>
        <w:t>平方米）</w:t>
      </w:r>
      <w:r>
        <w:rPr>
          <w:rFonts w:hint="eastAsia" w:ascii="仿宋" w:hAnsi="仿宋" w:eastAsia="仿宋" w:cs="仿宋"/>
          <w:color w:val="auto"/>
          <w:sz w:val="28"/>
          <w:szCs w:val="28"/>
        </w:rPr>
        <w:t>（详见附图），</w:t>
      </w:r>
      <w:r>
        <w:rPr>
          <w:rFonts w:hint="eastAsia" w:ascii="仿宋" w:hAnsi="仿宋" w:eastAsia="仿宋" w:cs="仿宋"/>
          <w:sz w:val="28"/>
          <w:szCs w:val="28"/>
        </w:rPr>
        <w:t>乙方对甲方出租的物业</w:t>
      </w:r>
      <w:r>
        <w:rPr>
          <w:rFonts w:hint="eastAsia" w:ascii="仿宋" w:hAnsi="仿宋" w:eastAsia="仿宋" w:cs="仿宋"/>
          <w:sz w:val="28"/>
          <w:szCs w:val="28"/>
          <w:lang w:eastAsia="zh-CN"/>
        </w:rPr>
        <w:t>及场地</w:t>
      </w:r>
      <w:r>
        <w:rPr>
          <w:rFonts w:hint="eastAsia" w:ascii="仿宋" w:hAnsi="仿宋" w:eastAsia="仿宋" w:cs="仿宋"/>
          <w:sz w:val="28"/>
          <w:szCs w:val="28"/>
        </w:rPr>
        <w:t>情况已作充分了解，保证租赁期内仅用于</w:t>
      </w:r>
      <w:r>
        <w:rPr>
          <w:rFonts w:hint="eastAsia" w:ascii="仿宋" w:hAnsi="仿宋" w:eastAsia="仿宋" w:cs="仿宋"/>
          <w:sz w:val="28"/>
          <w:szCs w:val="28"/>
          <w:u w:val="single"/>
        </w:rPr>
        <w:t xml:space="preserve"> 商业 </w:t>
      </w:r>
      <w:r>
        <w:rPr>
          <w:rFonts w:hint="eastAsia" w:ascii="仿宋" w:hAnsi="仿宋" w:eastAsia="仿宋" w:cs="仿宋"/>
          <w:sz w:val="28"/>
          <w:szCs w:val="28"/>
        </w:rPr>
        <w:t>用途，并遵守有关法律、法规规定和本联社村规民约，依法依规经营。</w:t>
      </w:r>
    </w:p>
    <w:p w14:paraId="0EBEC1DE">
      <w:pPr>
        <w:spacing w:line="400" w:lineRule="exact"/>
        <w:ind w:firstLine="562" w:firstLineChars="200"/>
        <w:rPr>
          <w:rFonts w:ascii="仿宋" w:hAnsi="仿宋" w:eastAsia="仿宋" w:cs="仿宋"/>
          <w:b/>
          <w:sz w:val="28"/>
          <w:szCs w:val="28"/>
        </w:rPr>
      </w:pPr>
      <w:r>
        <w:rPr>
          <w:rFonts w:hint="eastAsia" w:ascii="仿宋" w:hAnsi="仿宋" w:eastAsia="仿宋" w:cs="仿宋"/>
          <w:b/>
          <w:sz w:val="28"/>
          <w:szCs w:val="28"/>
        </w:rPr>
        <w:t>第二条  承租期限</w:t>
      </w:r>
    </w:p>
    <w:p w14:paraId="0A1E4F45">
      <w:pPr>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本合同项下的</w:t>
      </w:r>
      <w:r>
        <w:rPr>
          <w:rFonts w:hint="eastAsia" w:ascii="仿宋" w:hAnsi="仿宋" w:eastAsia="仿宋" w:cs="仿宋"/>
          <w:sz w:val="28"/>
          <w:szCs w:val="28"/>
          <w:lang w:eastAsia="zh-CN"/>
        </w:rPr>
        <w:t>物</w:t>
      </w:r>
      <w:r>
        <w:rPr>
          <w:rFonts w:hint="eastAsia" w:ascii="仿宋" w:hAnsi="仿宋" w:eastAsia="仿宋" w:cs="仿宋"/>
          <w:color w:val="auto"/>
          <w:sz w:val="28"/>
          <w:szCs w:val="28"/>
          <w:lang w:eastAsia="zh-CN"/>
        </w:rPr>
        <w:t>业及场地</w:t>
      </w:r>
      <w:r>
        <w:rPr>
          <w:rFonts w:hint="eastAsia" w:ascii="仿宋" w:hAnsi="仿宋" w:eastAsia="仿宋" w:cs="仿宋"/>
          <w:sz w:val="28"/>
          <w:szCs w:val="28"/>
        </w:rPr>
        <w:t>租赁年限</w:t>
      </w:r>
      <w:r>
        <w:rPr>
          <w:rFonts w:hint="eastAsia" w:ascii="仿宋" w:hAnsi="仿宋" w:eastAsia="仿宋" w:cs="仿宋"/>
          <w:color w:val="auto"/>
          <w:sz w:val="28"/>
          <w:szCs w:val="28"/>
        </w:rPr>
        <w:t>为</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u w:val="single"/>
          <w:lang w:val="en-US" w:eastAsia="zh-CN"/>
        </w:rPr>
        <w:t xml:space="preserve"> 20</w:t>
      </w:r>
      <w:r>
        <w:rPr>
          <w:rFonts w:hint="eastAsia" w:ascii="仿宋" w:hAnsi="仿宋" w:eastAsia="仿宋" w:cs="仿宋"/>
          <w:color w:val="auto"/>
          <w:sz w:val="28"/>
          <w:szCs w:val="28"/>
          <w:u w:val="single"/>
        </w:rPr>
        <w:t xml:space="preserve"> 年</w:t>
      </w:r>
      <w:r>
        <w:rPr>
          <w:rFonts w:hint="eastAsia" w:ascii="仿宋" w:hAnsi="仿宋" w:eastAsia="仿宋" w:cs="仿宋"/>
          <w:color w:val="auto"/>
          <w:sz w:val="28"/>
          <w:szCs w:val="28"/>
        </w:rPr>
        <w:t>，</w:t>
      </w:r>
      <w:r>
        <w:rPr>
          <w:rFonts w:hint="eastAsia" w:ascii="仿宋" w:hAnsi="仿宋" w:eastAsia="仿宋" w:cs="仿宋"/>
          <w:sz w:val="28"/>
          <w:szCs w:val="28"/>
        </w:rPr>
        <w:t>自</w:t>
      </w:r>
      <w:r>
        <w:rPr>
          <w:rFonts w:hint="eastAsia" w:ascii="仿宋" w:hAnsi="仿宋" w:eastAsia="仿宋" w:cs="仿宋"/>
          <w:sz w:val="28"/>
          <w:szCs w:val="28"/>
          <w:u w:val="single"/>
        </w:rPr>
        <w:t xml:space="preserve"> </w:t>
      </w:r>
      <w:r>
        <w:rPr>
          <w:rFonts w:hint="eastAsia" w:ascii="仿宋" w:hAnsi="仿宋" w:eastAsia="仿宋" w:cs="仿宋"/>
          <w:kern w:val="0"/>
          <w:sz w:val="28"/>
          <w:szCs w:val="28"/>
          <w:u w:val="single"/>
        </w:rPr>
        <w:t xml:space="preserve">       </w:t>
      </w:r>
      <w:r>
        <w:rPr>
          <w:rFonts w:hint="eastAsia" w:ascii="仿宋" w:hAnsi="仿宋" w:eastAsia="仿宋" w:cs="仿宋"/>
          <w:sz w:val="28"/>
          <w:szCs w:val="28"/>
          <w:u w:val="single"/>
        </w:rPr>
        <w:t>起至</w:t>
      </w:r>
      <w:r>
        <w:rPr>
          <w:rFonts w:hint="eastAsia" w:ascii="仿宋" w:hAnsi="仿宋" w:eastAsia="仿宋" w:cs="仿宋"/>
          <w:kern w:val="0"/>
          <w:sz w:val="28"/>
          <w:szCs w:val="28"/>
          <w:u w:val="single"/>
        </w:rPr>
        <w:t xml:space="preserve">       </w:t>
      </w:r>
      <w:r>
        <w:rPr>
          <w:rFonts w:hint="eastAsia" w:ascii="仿宋" w:hAnsi="仿宋" w:eastAsia="仿宋" w:cs="仿宋"/>
          <w:sz w:val="28"/>
          <w:szCs w:val="28"/>
          <w:u w:val="single"/>
        </w:rPr>
        <w:t>止</w:t>
      </w:r>
      <w:r>
        <w:rPr>
          <w:rFonts w:hint="eastAsia" w:ascii="仿宋" w:hAnsi="仿宋" w:eastAsia="仿宋" w:cs="仿宋"/>
          <w:sz w:val="28"/>
          <w:szCs w:val="28"/>
        </w:rPr>
        <w:t>。（以合同签订为准）</w:t>
      </w:r>
    </w:p>
    <w:p w14:paraId="25CD682A">
      <w:pPr>
        <w:spacing w:line="400" w:lineRule="exact"/>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 xml:space="preserve">免租期限: </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u w:val="single"/>
          <w:lang w:val="en-US" w:eastAsia="zh-CN"/>
        </w:rPr>
        <w:t>6个月</w:t>
      </w:r>
      <w:r>
        <w:rPr>
          <w:rFonts w:hint="eastAsia" w:ascii="仿宋" w:hAnsi="仿宋" w:eastAsia="仿宋" w:cs="仿宋"/>
          <w:color w:val="auto"/>
          <w:sz w:val="28"/>
          <w:szCs w:val="28"/>
          <w:u w:val="single"/>
        </w:rPr>
        <w:t xml:space="preserve"> 。</w:t>
      </w:r>
    </w:p>
    <w:p w14:paraId="48A64705">
      <w:pPr>
        <w:spacing w:line="400" w:lineRule="exact"/>
        <w:ind w:firstLine="562" w:firstLineChars="200"/>
        <w:rPr>
          <w:rFonts w:ascii="仿宋" w:hAnsi="仿宋" w:eastAsia="仿宋" w:cs="仿宋"/>
          <w:b/>
          <w:bCs/>
          <w:sz w:val="28"/>
          <w:szCs w:val="28"/>
        </w:rPr>
      </w:pPr>
      <w:r>
        <w:rPr>
          <w:rFonts w:hint="eastAsia" w:ascii="仿宋" w:hAnsi="仿宋" w:eastAsia="仿宋" w:cs="仿宋"/>
          <w:b/>
          <w:sz w:val="28"/>
          <w:szCs w:val="28"/>
        </w:rPr>
        <w:t xml:space="preserve">第三条  </w:t>
      </w:r>
      <w:r>
        <w:rPr>
          <w:rFonts w:hint="eastAsia" w:ascii="仿宋" w:hAnsi="仿宋" w:eastAsia="仿宋" w:cs="仿宋"/>
          <w:b/>
          <w:bCs/>
          <w:sz w:val="28"/>
          <w:szCs w:val="28"/>
        </w:rPr>
        <w:t>合同履约保证金、合同租金的标准及支付方式</w:t>
      </w:r>
    </w:p>
    <w:p w14:paraId="0A97BD71">
      <w:pPr>
        <w:widowControl/>
        <w:shd w:val="clear" w:color="auto" w:fill="FFFFFF"/>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（一）合同履约保证金及支付方式</w:t>
      </w:r>
    </w:p>
    <w:p w14:paraId="0052A3F8">
      <w:pPr>
        <w:widowControl/>
        <w:spacing w:line="400" w:lineRule="exact"/>
        <w:ind w:left="19" w:leftChars="9" w:firstLine="537" w:firstLineChars="192"/>
        <w:jc w:val="left"/>
        <w:rPr>
          <w:rFonts w:ascii="仿宋" w:hAnsi="仿宋" w:eastAsia="仿宋" w:cs="仿宋"/>
          <w:sz w:val="28"/>
          <w:szCs w:val="28"/>
        </w:rPr>
      </w:pPr>
      <w:r>
        <w:rPr>
          <w:rFonts w:hint="eastAsia" w:ascii="仿宋" w:hAnsi="仿宋" w:eastAsia="仿宋" w:cs="仿宋"/>
          <w:sz w:val="28"/>
          <w:szCs w:val="28"/>
        </w:rPr>
        <w:t>本合同签订前，乙方须一次性向甲方交纳人民币</w:t>
      </w:r>
      <w:r>
        <w:rPr>
          <w:rFonts w:hint="eastAsia" w:ascii="仿宋" w:hAnsi="仿宋" w:eastAsia="仿宋" w:cs="仿宋"/>
          <w:b/>
          <w:bCs/>
          <w:color w:val="auto"/>
          <w:sz w:val="28"/>
          <w:szCs w:val="28"/>
          <w:u w:val="single"/>
          <w:lang w:val="en-US" w:eastAsia="zh-CN"/>
        </w:rPr>
        <w:t>人民币3500000元（大写：叁佰伍拾万元整）</w:t>
      </w:r>
      <w:r>
        <w:rPr>
          <w:rFonts w:hint="eastAsia" w:ascii="仿宋" w:hAnsi="仿宋" w:eastAsia="仿宋" w:cs="仿宋"/>
          <w:sz w:val="28"/>
          <w:szCs w:val="28"/>
        </w:rPr>
        <w:t>作为履行本合同的保证金。保证金不计利息，不抵作租金。合同期届满，如乙方无违约行为，</w:t>
      </w:r>
      <w:r>
        <w:rPr>
          <w:rFonts w:hint="eastAsia" w:ascii="仿宋" w:hAnsi="仿宋" w:eastAsia="仿宋" w:cs="仿宋"/>
          <w:sz w:val="28"/>
          <w:szCs w:val="28"/>
          <w:lang w:eastAsia="zh-CN"/>
        </w:rPr>
        <w:t>甲方应在</w:t>
      </w:r>
      <w:r>
        <w:rPr>
          <w:rFonts w:hint="eastAsia" w:ascii="仿宋" w:hAnsi="仿宋" w:eastAsia="仿宋" w:cs="仿宋"/>
          <w:sz w:val="28"/>
          <w:szCs w:val="28"/>
          <w:lang w:val="en-US" w:eastAsia="zh-CN"/>
        </w:rPr>
        <w:t>15天内将</w:t>
      </w:r>
      <w:r>
        <w:rPr>
          <w:rFonts w:hint="eastAsia" w:ascii="仿宋" w:hAnsi="仿宋" w:eastAsia="仿宋" w:cs="仿宋"/>
          <w:sz w:val="28"/>
          <w:szCs w:val="28"/>
        </w:rPr>
        <w:t>保证金全额无息退回给乙方；如乙方中途自行退租或违反本合同有关条款的，则视作乙方根本违约，甲方有权单方解除合同，保证金归甲方所有，且无偿收回乙方租赁上述物业及场地的使用权，并追究乙方责任及由此造成甲方的经济损失。如甲方违约解除合同的，应双倍退还保证金。</w:t>
      </w:r>
    </w:p>
    <w:p w14:paraId="149E0F43">
      <w:pPr>
        <w:widowControl/>
        <w:spacing w:line="400" w:lineRule="exact"/>
        <w:ind w:firstLine="565" w:firstLineChars="202"/>
        <w:jc w:val="left"/>
        <w:rPr>
          <w:rFonts w:ascii="仿宋" w:hAnsi="仿宋" w:eastAsia="仿宋" w:cs="仿宋"/>
          <w:kern w:val="0"/>
          <w:sz w:val="28"/>
          <w:szCs w:val="28"/>
        </w:rPr>
      </w:pPr>
      <w:r>
        <w:rPr>
          <w:rFonts w:hint="eastAsia" w:ascii="仿宋" w:hAnsi="仿宋" w:eastAsia="仿宋" w:cs="仿宋"/>
          <w:kern w:val="0"/>
          <w:sz w:val="28"/>
          <w:szCs w:val="28"/>
        </w:rPr>
        <w:t>（二）合同租金的标准和支付方式</w:t>
      </w:r>
    </w:p>
    <w:p w14:paraId="3C779379">
      <w:pPr>
        <w:widowControl/>
        <w:spacing w:line="400" w:lineRule="exact"/>
        <w:ind w:firstLine="565" w:firstLineChars="202"/>
        <w:jc w:val="left"/>
        <w:rPr>
          <w:rFonts w:ascii="仿宋" w:hAnsi="仿宋" w:eastAsia="仿宋" w:cs="仿宋"/>
          <w:color w:val="auto"/>
          <w:kern w:val="0"/>
          <w:sz w:val="28"/>
          <w:szCs w:val="28"/>
          <w:u w:val="single"/>
        </w:rPr>
      </w:pPr>
      <w:r>
        <w:rPr>
          <w:rFonts w:hint="eastAsia" w:ascii="仿宋" w:hAnsi="仿宋" w:eastAsia="仿宋" w:cs="仿宋"/>
          <w:color w:val="auto"/>
          <w:kern w:val="0"/>
          <w:sz w:val="28"/>
          <w:szCs w:val="28"/>
        </w:rPr>
        <w:t>1、</w:t>
      </w:r>
      <w:r>
        <w:rPr>
          <w:rFonts w:hint="eastAsia" w:ascii="仿宋" w:hAnsi="仿宋" w:eastAsia="仿宋" w:cs="仿宋"/>
          <w:color w:val="auto"/>
          <w:kern w:val="0"/>
          <w:sz w:val="28"/>
          <w:szCs w:val="28"/>
          <w:u w:val="single"/>
        </w:rPr>
        <w:t>合同租金由物业租金及场地租金构成，按</w:t>
      </w:r>
      <w:r>
        <w:rPr>
          <w:rFonts w:hint="eastAsia" w:ascii="仿宋" w:hAnsi="仿宋" w:eastAsia="仿宋" w:cs="仿宋"/>
          <w:color w:val="auto"/>
          <w:kern w:val="0"/>
          <w:sz w:val="28"/>
          <w:szCs w:val="28"/>
          <w:u w:val="single"/>
          <w:lang w:val="en-US" w:eastAsia="zh-CN"/>
        </w:rPr>
        <w:t>589741.22</w:t>
      </w:r>
      <w:r>
        <w:rPr>
          <w:rFonts w:hint="eastAsia" w:ascii="仿宋" w:hAnsi="仿宋" w:eastAsia="仿宋" w:cs="仿宋"/>
          <w:color w:val="auto"/>
          <w:kern w:val="0"/>
          <w:sz w:val="28"/>
          <w:szCs w:val="28"/>
          <w:u w:val="single"/>
        </w:rPr>
        <w:t>元/月(以成交价为准）标准收取；</w:t>
      </w:r>
    </w:p>
    <w:p w14:paraId="1C46F29F">
      <w:pPr>
        <w:widowControl/>
        <w:spacing w:line="400" w:lineRule="exact"/>
        <w:ind w:firstLine="565" w:firstLineChars="202"/>
        <w:jc w:val="left"/>
        <w:rPr>
          <w:rFonts w:ascii="仿宋" w:hAnsi="仿宋" w:eastAsia="仿宋" w:cs="仿宋"/>
          <w:color w:val="auto"/>
          <w:kern w:val="0"/>
          <w:sz w:val="28"/>
          <w:szCs w:val="28"/>
          <w:u w:val="single"/>
        </w:rPr>
      </w:pPr>
      <w:r>
        <w:rPr>
          <w:rFonts w:hint="eastAsia" w:ascii="仿宋" w:hAnsi="仿宋" w:eastAsia="仿宋" w:cs="仿宋"/>
          <w:color w:val="auto"/>
          <w:kern w:val="0"/>
          <w:sz w:val="28"/>
          <w:szCs w:val="28"/>
        </w:rPr>
        <w:t>2、</w:t>
      </w:r>
      <w:r>
        <w:rPr>
          <w:rFonts w:hint="eastAsia" w:ascii="仿宋" w:hAnsi="仿宋" w:eastAsia="仿宋" w:cs="仿宋"/>
          <w:color w:val="auto"/>
          <w:kern w:val="0"/>
          <w:sz w:val="28"/>
          <w:szCs w:val="28"/>
          <w:u w:val="single"/>
        </w:rPr>
        <w:t>递增方式</w:t>
      </w:r>
      <w:r>
        <w:rPr>
          <w:rFonts w:hint="eastAsia" w:ascii="仿宋" w:hAnsi="仿宋" w:eastAsia="仿宋" w:cs="仿宋"/>
          <w:color w:val="auto"/>
          <w:sz w:val="28"/>
          <w:szCs w:val="28"/>
          <w:u w:val="single"/>
        </w:rPr>
        <w:t>：合同租金自第</w:t>
      </w:r>
      <w:r>
        <w:rPr>
          <w:rFonts w:hint="eastAsia" w:ascii="仿宋" w:hAnsi="仿宋" w:eastAsia="仿宋" w:cs="仿宋"/>
          <w:color w:val="auto"/>
          <w:sz w:val="28"/>
          <w:szCs w:val="28"/>
          <w:u w:val="single"/>
          <w:lang w:val="en-US" w:eastAsia="zh-CN"/>
        </w:rPr>
        <w:t>37</w:t>
      </w:r>
      <w:r>
        <w:rPr>
          <w:rFonts w:hint="eastAsia" w:ascii="仿宋" w:hAnsi="仿宋" w:eastAsia="仿宋" w:cs="仿宋"/>
          <w:color w:val="auto"/>
          <w:sz w:val="28"/>
          <w:szCs w:val="28"/>
          <w:u w:val="single"/>
        </w:rPr>
        <w:t>个月起开始递增，每</w:t>
      </w:r>
      <w:r>
        <w:rPr>
          <w:rFonts w:hint="eastAsia" w:ascii="仿宋" w:hAnsi="仿宋" w:eastAsia="仿宋" w:cs="仿宋"/>
          <w:color w:val="auto"/>
          <w:sz w:val="28"/>
          <w:szCs w:val="28"/>
          <w:u w:val="single"/>
          <w:lang w:val="en-US" w:eastAsia="zh-CN"/>
        </w:rPr>
        <w:t>36</w:t>
      </w:r>
      <w:r>
        <w:rPr>
          <w:rFonts w:hint="eastAsia" w:ascii="仿宋" w:hAnsi="仿宋" w:eastAsia="仿宋" w:cs="仿宋"/>
          <w:color w:val="auto"/>
          <w:sz w:val="28"/>
          <w:szCs w:val="28"/>
          <w:u w:val="single"/>
        </w:rPr>
        <w:t>月递增一次，每次递增幅度为上期缴纳合同租金的</w:t>
      </w:r>
      <w:r>
        <w:rPr>
          <w:rFonts w:hint="eastAsia" w:ascii="仿宋" w:hAnsi="仿宋" w:eastAsia="仿宋" w:cs="仿宋"/>
          <w:color w:val="auto"/>
          <w:sz w:val="28"/>
          <w:szCs w:val="28"/>
          <w:u w:val="single"/>
          <w:lang w:val="en-US" w:eastAsia="zh-CN"/>
        </w:rPr>
        <w:t>5</w:t>
      </w:r>
      <w:r>
        <w:rPr>
          <w:rFonts w:hint="eastAsia" w:ascii="仿宋" w:hAnsi="仿宋" w:eastAsia="仿宋" w:cs="仿宋"/>
          <w:color w:val="auto"/>
          <w:sz w:val="28"/>
          <w:szCs w:val="28"/>
          <w:u w:val="single"/>
        </w:rPr>
        <w:t xml:space="preserve">% </w:t>
      </w:r>
      <w:r>
        <w:rPr>
          <w:rFonts w:hint="eastAsia" w:ascii="仿宋" w:hAnsi="仿宋" w:eastAsia="仿宋" w:cs="仿宋"/>
          <w:color w:val="auto"/>
          <w:kern w:val="0"/>
          <w:sz w:val="28"/>
          <w:szCs w:val="28"/>
          <w:u w:val="single"/>
        </w:rPr>
        <w:t>；</w:t>
      </w:r>
    </w:p>
    <w:p w14:paraId="6F741119">
      <w:pPr>
        <w:widowControl/>
        <w:spacing w:line="400" w:lineRule="exact"/>
        <w:ind w:firstLine="565" w:firstLineChars="202"/>
        <w:jc w:val="left"/>
        <w:rPr>
          <w:rFonts w:ascii="仿宋" w:hAnsi="仿宋" w:eastAsia="仿宋" w:cs="仿宋"/>
          <w:kern w:val="0"/>
          <w:sz w:val="28"/>
          <w:szCs w:val="28"/>
          <w:u w:val="single"/>
        </w:rPr>
      </w:pPr>
      <w:r>
        <w:rPr>
          <w:rFonts w:hint="eastAsia" w:ascii="仿宋" w:hAnsi="仿宋" w:eastAsia="仿宋" w:cs="仿宋"/>
          <w:kern w:val="0"/>
          <w:sz w:val="28"/>
          <w:szCs w:val="28"/>
          <w:u w:val="single"/>
        </w:rPr>
        <w:t>3、合同租金收取方式：每月一次，于每月</w:t>
      </w:r>
      <w:r>
        <w:rPr>
          <w:rFonts w:hint="eastAsia" w:ascii="仿宋" w:hAnsi="仿宋" w:eastAsia="仿宋" w:cs="仿宋"/>
          <w:kern w:val="0"/>
          <w:sz w:val="28"/>
          <w:szCs w:val="28"/>
          <w:u w:val="single"/>
          <w:lang w:val="en-US" w:eastAsia="zh-CN"/>
        </w:rPr>
        <w:t>1</w:t>
      </w:r>
      <w:r>
        <w:rPr>
          <w:rFonts w:hint="eastAsia" w:ascii="仿宋" w:hAnsi="仿宋" w:eastAsia="仿宋" w:cs="仿宋"/>
          <w:kern w:val="0"/>
          <w:sz w:val="28"/>
          <w:szCs w:val="28"/>
          <w:u w:val="single"/>
        </w:rPr>
        <w:t>日前以银行转账的方式收取当</w:t>
      </w:r>
      <w:r>
        <w:rPr>
          <w:rFonts w:hint="eastAsia" w:ascii="仿宋" w:hAnsi="仿宋" w:eastAsia="仿宋" w:cs="仿宋"/>
          <w:kern w:val="0"/>
          <w:sz w:val="28"/>
          <w:szCs w:val="28"/>
          <w:u w:val="single"/>
          <w:lang w:eastAsia="zh-CN"/>
        </w:rPr>
        <w:t>月</w:t>
      </w:r>
      <w:r>
        <w:rPr>
          <w:rFonts w:hint="eastAsia" w:ascii="仿宋" w:hAnsi="仿宋" w:eastAsia="仿宋" w:cs="仿宋"/>
          <w:kern w:val="0"/>
          <w:sz w:val="28"/>
          <w:szCs w:val="28"/>
          <w:u w:val="single"/>
        </w:rPr>
        <w:t>合同租金，先交后用，如此类推。</w:t>
      </w:r>
    </w:p>
    <w:p w14:paraId="6884CE89">
      <w:pPr>
        <w:widowControl/>
        <w:spacing w:line="400" w:lineRule="exact"/>
        <w:ind w:firstLine="565" w:firstLineChars="202"/>
        <w:jc w:val="left"/>
        <w:rPr>
          <w:rFonts w:hint="eastAsia" w:ascii="仿宋_GB2312" w:eastAsia="仿宋_GB2312"/>
          <w:sz w:val="28"/>
          <w:szCs w:val="28"/>
          <w:u w:val="single"/>
          <w:lang w:eastAsia="zh-CN"/>
        </w:rPr>
      </w:pPr>
      <w:r>
        <w:rPr>
          <w:rFonts w:hint="eastAsia" w:ascii="仿宋_GB2312" w:eastAsia="仿宋_GB2312"/>
          <w:sz w:val="28"/>
          <w:szCs w:val="28"/>
          <w:u w:val="single"/>
        </w:rPr>
        <w:t>收 款 人：广州市</w:t>
      </w:r>
      <w:r>
        <w:rPr>
          <w:rFonts w:hint="eastAsia" w:ascii="仿宋_GB2312" w:eastAsia="仿宋_GB2312"/>
          <w:sz w:val="28"/>
          <w:szCs w:val="28"/>
          <w:u w:val="single"/>
          <w:lang w:eastAsia="zh-CN"/>
        </w:rPr>
        <w:t>前进置业发展有限公司</w:t>
      </w:r>
    </w:p>
    <w:p w14:paraId="0BFA98E6">
      <w:pPr>
        <w:widowControl/>
        <w:spacing w:line="400" w:lineRule="exact"/>
        <w:ind w:firstLine="565" w:firstLineChars="202"/>
        <w:jc w:val="left"/>
        <w:rPr>
          <w:rFonts w:ascii="仿宋_GB2312" w:eastAsia="仿宋_GB2312"/>
          <w:sz w:val="28"/>
          <w:szCs w:val="28"/>
          <w:u w:val="single"/>
        </w:rPr>
      </w:pPr>
      <w:r>
        <w:rPr>
          <w:rFonts w:hint="eastAsia" w:ascii="仿宋_GB2312" w:eastAsia="仿宋_GB2312"/>
          <w:sz w:val="28"/>
          <w:szCs w:val="28"/>
          <w:u w:val="single"/>
        </w:rPr>
        <w:t>开户银行：广州农村商业银行天河支行</w:t>
      </w:r>
    </w:p>
    <w:p w14:paraId="372BA4C2">
      <w:pPr>
        <w:widowControl/>
        <w:shd w:val="clear" w:color="auto" w:fill="FFFFFF"/>
        <w:spacing w:line="400" w:lineRule="exact"/>
        <w:ind w:firstLine="560" w:firstLineChars="200"/>
        <w:rPr>
          <w:rFonts w:hint="default" w:ascii="仿宋_GB2312" w:hAnsi="仿宋" w:eastAsia="仿宋_GB2312" w:cs="仿宋"/>
          <w:sz w:val="28"/>
          <w:szCs w:val="28"/>
          <w:u w:val="single"/>
          <w:lang w:val="en-US" w:eastAsia="zh-CN"/>
        </w:rPr>
      </w:pPr>
      <w:r>
        <w:rPr>
          <w:rFonts w:hint="eastAsia" w:ascii="仿宋_GB2312" w:eastAsia="仿宋_GB2312"/>
          <w:sz w:val="28"/>
          <w:szCs w:val="28"/>
          <w:u w:val="single"/>
        </w:rPr>
        <w:t>账    号：</w:t>
      </w:r>
      <w:r>
        <w:rPr>
          <w:rFonts w:hint="eastAsia" w:ascii="仿宋_GB2312" w:eastAsia="仿宋_GB2312"/>
          <w:color w:val="auto"/>
          <w:sz w:val="28"/>
          <w:szCs w:val="28"/>
          <w:highlight w:val="none"/>
          <w:u w:val="single"/>
        </w:rPr>
        <w:t>319508001000007986</w:t>
      </w:r>
    </w:p>
    <w:p w14:paraId="5C024A13">
      <w:pPr>
        <w:widowControl/>
        <w:shd w:val="clear" w:color="auto" w:fill="FFFFFF"/>
        <w:spacing w:after="100" w:line="400" w:lineRule="exact"/>
        <w:ind w:firstLine="560" w:firstLineChars="200"/>
        <w:rPr>
          <w:rFonts w:ascii="仿宋" w:hAnsi="仿宋" w:eastAsia="仿宋" w:cs="仿宋"/>
          <w:sz w:val="28"/>
          <w:szCs w:val="28"/>
        </w:rPr>
      </w:pPr>
      <w:r>
        <w:rPr>
          <w:rFonts w:hint="eastAsia" w:ascii="仿宋" w:hAnsi="仿宋" w:eastAsia="仿宋" w:cs="仿宋"/>
          <w:sz w:val="28"/>
          <w:szCs w:val="28"/>
        </w:rPr>
        <w:t>具体租金额如下表：          （单位：元）</w:t>
      </w:r>
    </w:p>
    <w:tbl>
      <w:tblPr>
        <w:tblStyle w:val="54"/>
        <w:tblW w:w="93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1670"/>
        <w:gridCol w:w="1670"/>
        <w:gridCol w:w="1670"/>
        <w:gridCol w:w="1670"/>
        <w:gridCol w:w="1670"/>
      </w:tblGrid>
      <w:tr w14:paraId="12438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vAlign w:val="center"/>
          </w:tcPr>
          <w:p w14:paraId="4BA765FB">
            <w:pPr>
              <w:widowControl/>
              <w:spacing w:after="100" w:line="400" w:lineRule="exact"/>
              <w:jc w:val="center"/>
              <w:rPr>
                <w:rFonts w:ascii="仿宋" w:hAnsi="仿宋" w:eastAsia="仿宋" w:cs="仿宋"/>
                <w:sz w:val="28"/>
                <w:szCs w:val="28"/>
              </w:rPr>
            </w:pPr>
            <w:r>
              <w:rPr>
                <w:rFonts w:hint="eastAsia" w:ascii="仿宋" w:hAnsi="仿宋" w:eastAsia="仿宋" w:cs="仿宋"/>
                <w:b/>
                <w:bCs/>
                <w:sz w:val="28"/>
                <w:szCs w:val="28"/>
              </w:rPr>
              <w:t>年限</w:t>
            </w:r>
          </w:p>
        </w:tc>
        <w:tc>
          <w:tcPr>
            <w:tcW w:w="1670" w:type="dxa"/>
            <w:vAlign w:val="center"/>
          </w:tcPr>
          <w:p w14:paraId="47ED4CA5">
            <w:pPr>
              <w:widowControl/>
              <w:spacing w:after="100" w:line="400" w:lineRule="exact"/>
              <w:jc w:val="center"/>
              <w:rPr>
                <w:rFonts w:ascii="仿宋" w:hAnsi="仿宋" w:eastAsia="仿宋" w:cs="仿宋"/>
                <w:sz w:val="28"/>
                <w:szCs w:val="28"/>
              </w:rPr>
            </w:pPr>
            <w:r>
              <w:rPr>
                <w:rFonts w:hint="eastAsia" w:ascii="仿宋" w:hAnsi="仿宋" w:eastAsia="仿宋" w:cs="仿宋"/>
                <w:b/>
                <w:bCs/>
                <w:sz w:val="28"/>
                <w:szCs w:val="28"/>
              </w:rPr>
              <w:t>开始日期</w:t>
            </w:r>
          </w:p>
        </w:tc>
        <w:tc>
          <w:tcPr>
            <w:tcW w:w="1670" w:type="dxa"/>
            <w:vAlign w:val="center"/>
          </w:tcPr>
          <w:p w14:paraId="57AFA8B6">
            <w:pPr>
              <w:widowControl/>
              <w:spacing w:after="100" w:line="400" w:lineRule="exact"/>
              <w:jc w:val="center"/>
              <w:rPr>
                <w:rFonts w:ascii="仿宋" w:hAnsi="仿宋" w:eastAsia="仿宋" w:cs="仿宋"/>
                <w:sz w:val="28"/>
                <w:szCs w:val="28"/>
              </w:rPr>
            </w:pPr>
            <w:r>
              <w:rPr>
                <w:rFonts w:hint="eastAsia" w:ascii="仿宋" w:hAnsi="仿宋" w:eastAsia="仿宋" w:cs="仿宋"/>
                <w:b/>
                <w:bCs/>
                <w:sz w:val="28"/>
                <w:szCs w:val="28"/>
              </w:rPr>
              <w:t>结束日期</w:t>
            </w:r>
          </w:p>
        </w:tc>
        <w:tc>
          <w:tcPr>
            <w:tcW w:w="1670" w:type="dxa"/>
            <w:vAlign w:val="center"/>
          </w:tcPr>
          <w:p w14:paraId="200DBA09">
            <w:pPr>
              <w:widowControl/>
              <w:spacing w:after="100" w:line="400" w:lineRule="exact"/>
              <w:jc w:val="center"/>
              <w:rPr>
                <w:rFonts w:ascii="仿宋" w:hAnsi="仿宋" w:eastAsia="仿宋" w:cs="仿宋"/>
                <w:sz w:val="28"/>
                <w:szCs w:val="28"/>
              </w:rPr>
            </w:pPr>
            <w:r>
              <w:rPr>
                <w:rFonts w:hint="eastAsia" w:ascii="仿宋" w:hAnsi="仿宋" w:eastAsia="仿宋" w:cs="仿宋"/>
                <w:b/>
                <w:bCs/>
                <w:sz w:val="28"/>
                <w:szCs w:val="28"/>
              </w:rPr>
              <w:t>每月租金</w:t>
            </w:r>
          </w:p>
        </w:tc>
        <w:tc>
          <w:tcPr>
            <w:tcW w:w="1670" w:type="dxa"/>
            <w:vAlign w:val="center"/>
          </w:tcPr>
          <w:p w14:paraId="033E2713">
            <w:pPr>
              <w:widowControl/>
              <w:spacing w:after="100" w:line="400" w:lineRule="exact"/>
              <w:jc w:val="center"/>
              <w:rPr>
                <w:rFonts w:ascii="仿宋" w:hAnsi="仿宋" w:eastAsia="仿宋" w:cs="仿宋"/>
                <w:sz w:val="28"/>
                <w:szCs w:val="28"/>
              </w:rPr>
            </w:pPr>
            <w:r>
              <w:rPr>
                <w:rFonts w:hint="eastAsia" w:ascii="仿宋" w:hAnsi="仿宋" w:eastAsia="仿宋" w:cs="仿宋"/>
                <w:b/>
                <w:bCs/>
                <w:sz w:val="28"/>
                <w:szCs w:val="28"/>
              </w:rPr>
              <w:t>每年租金</w:t>
            </w:r>
          </w:p>
        </w:tc>
        <w:tc>
          <w:tcPr>
            <w:tcW w:w="1670" w:type="dxa"/>
            <w:vAlign w:val="center"/>
          </w:tcPr>
          <w:p w14:paraId="18721081">
            <w:pPr>
              <w:widowControl/>
              <w:spacing w:after="100" w:line="400" w:lineRule="exact"/>
              <w:jc w:val="center"/>
              <w:rPr>
                <w:rFonts w:ascii="仿宋" w:hAnsi="仿宋" w:eastAsia="仿宋" w:cs="仿宋"/>
                <w:sz w:val="28"/>
                <w:szCs w:val="28"/>
              </w:rPr>
            </w:pPr>
            <w:r>
              <w:rPr>
                <w:rFonts w:hint="eastAsia" w:ascii="仿宋" w:hAnsi="仿宋" w:eastAsia="仿宋" w:cs="仿宋"/>
                <w:b/>
                <w:bCs/>
                <w:sz w:val="28"/>
                <w:szCs w:val="28"/>
              </w:rPr>
              <w:t>递增率</w:t>
            </w:r>
          </w:p>
        </w:tc>
      </w:tr>
      <w:tr w14:paraId="4FDF4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tcPr>
          <w:p w14:paraId="31BA6DF9">
            <w:pPr>
              <w:widowControl/>
              <w:spacing w:after="100" w:line="400" w:lineRule="exact"/>
              <w:jc w:val="center"/>
              <w:rPr>
                <w:rFonts w:ascii="仿宋" w:hAnsi="仿宋" w:eastAsia="仿宋" w:cs="仿宋"/>
                <w:sz w:val="28"/>
                <w:szCs w:val="28"/>
              </w:rPr>
            </w:pPr>
            <w:r>
              <w:rPr>
                <w:rFonts w:hint="eastAsia" w:ascii="仿宋" w:hAnsi="仿宋" w:eastAsia="仿宋" w:cs="仿宋"/>
                <w:sz w:val="28"/>
                <w:szCs w:val="28"/>
              </w:rPr>
              <w:t>1</w:t>
            </w:r>
          </w:p>
        </w:tc>
        <w:tc>
          <w:tcPr>
            <w:tcW w:w="1670" w:type="dxa"/>
          </w:tcPr>
          <w:p w14:paraId="22044464">
            <w:pPr>
              <w:widowControl/>
              <w:spacing w:after="100" w:line="400" w:lineRule="exact"/>
              <w:rPr>
                <w:rFonts w:ascii="仿宋" w:hAnsi="仿宋" w:eastAsia="仿宋" w:cs="仿宋"/>
                <w:sz w:val="28"/>
                <w:szCs w:val="28"/>
              </w:rPr>
            </w:pPr>
          </w:p>
        </w:tc>
        <w:tc>
          <w:tcPr>
            <w:tcW w:w="1670" w:type="dxa"/>
          </w:tcPr>
          <w:p w14:paraId="42A679A7">
            <w:pPr>
              <w:widowControl/>
              <w:spacing w:after="100" w:line="400" w:lineRule="exact"/>
              <w:rPr>
                <w:rFonts w:ascii="仿宋" w:hAnsi="仿宋" w:eastAsia="仿宋" w:cs="仿宋"/>
                <w:sz w:val="28"/>
                <w:szCs w:val="28"/>
              </w:rPr>
            </w:pPr>
          </w:p>
        </w:tc>
        <w:tc>
          <w:tcPr>
            <w:tcW w:w="1670" w:type="dxa"/>
          </w:tcPr>
          <w:p w14:paraId="28FAF445">
            <w:pPr>
              <w:widowControl/>
              <w:spacing w:after="100" w:line="400" w:lineRule="exact"/>
              <w:rPr>
                <w:rFonts w:ascii="仿宋" w:hAnsi="仿宋" w:eastAsia="仿宋" w:cs="仿宋"/>
                <w:sz w:val="28"/>
                <w:szCs w:val="28"/>
              </w:rPr>
            </w:pPr>
          </w:p>
        </w:tc>
        <w:tc>
          <w:tcPr>
            <w:tcW w:w="1670" w:type="dxa"/>
          </w:tcPr>
          <w:p w14:paraId="1CCB4A55">
            <w:pPr>
              <w:widowControl/>
              <w:spacing w:after="100" w:line="400" w:lineRule="exact"/>
              <w:rPr>
                <w:rFonts w:ascii="仿宋" w:hAnsi="仿宋" w:eastAsia="仿宋" w:cs="仿宋"/>
                <w:sz w:val="28"/>
                <w:szCs w:val="28"/>
              </w:rPr>
            </w:pPr>
          </w:p>
        </w:tc>
        <w:tc>
          <w:tcPr>
            <w:tcW w:w="1670" w:type="dxa"/>
          </w:tcPr>
          <w:p w14:paraId="1250B796">
            <w:pPr>
              <w:widowControl/>
              <w:spacing w:after="100" w:line="400" w:lineRule="exact"/>
              <w:rPr>
                <w:rFonts w:ascii="仿宋" w:hAnsi="仿宋" w:eastAsia="仿宋" w:cs="仿宋"/>
                <w:sz w:val="28"/>
                <w:szCs w:val="28"/>
              </w:rPr>
            </w:pPr>
          </w:p>
        </w:tc>
      </w:tr>
      <w:tr w14:paraId="34CB8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tcPr>
          <w:p w14:paraId="7C06F544">
            <w:pPr>
              <w:widowControl/>
              <w:spacing w:after="100" w:line="400" w:lineRule="exact"/>
              <w:jc w:val="center"/>
              <w:rPr>
                <w:rFonts w:ascii="仿宋" w:hAnsi="仿宋" w:eastAsia="仿宋" w:cs="仿宋"/>
                <w:sz w:val="28"/>
                <w:szCs w:val="28"/>
              </w:rPr>
            </w:pPr>
            <w:r>
              <w:rPr>
                <w:rFonts w:hint="eastAsia" w:ascii="仿宋" w:hAnsi="仿宋" w:eastAsia="仿宋" w:cs="仿宋"/>
                <w:sz w:val="28"/>
                <w:szCs w:val="28"/>
              </w:rPr>
              <w:t>2</w:t>
            </w:r>
          </w:p>
        </w:tc>
        <w:tc>
          <w:tcPr>
            <w:tcW w:w="1670" w:type="dxa"/>
          </w:tcPr>
          <w:p w14:paraId="102F54F4">
            <w:pPr>
              <w:widowControl/>
              <w:spacing w:after="100" w:line="400" w:lineRule="exact"/>
              <w:rPr>
                <w:rFonts w:ascii="仿宋" w:hAnsi="仿宋" w:eastAsia="仿宋" w:cs="仿宋"/>
                <w:sz w:val="28"/>
                <w:szCs w:val="28"/>
              </w:rPr>
            </w:pPr>
          </w:p>
        </w:tc>
        <w:tc>
          <w:tcPr>
            <w:tcW w:w="1670" w:type="dxa"/>
          </w:tcPr>
          <w:p w14:paraId="0D7ABAEA">
            <w:pPr>
              <w:widowControl/>
              <w:spacing w:after="100" w:line="400" w:lineRule="exact"/>
              <w:rPr>
                <w:rFonts w:ascii="仿宋" w:hAnsi="仿宋" w:eastAsia="仿宋" w:cs="仿宋"/>
                <w:sz w:val="28"/>
                <w:szCs w:val="28"/>
              </w:rPr>
            </w:pPr>
          </w:p>
        </w:tc>
        <w:tc>
          <w:tcPr>
            <w:tcW w:w="1670" w:type="dxa"/>
          </w:tcPr>
          <w:p w14:paraId="1535B281">
            <w:pPr>
              <w:widowControl/>
              <w:spacing w:after="100" w:line="400" w:lineRule="exact"/>
              <w:rPr>
                <w:rFonts w:ascii="仿宋" w:hAnsi="仿宋" w:eastAsia="仿宋" w:cs="仿宋"/>
                <w:sz w:val="28"/>
                <w:szCs w:val="28"/>
              </w:rPr>
            </w:pPr>
          </w:p>
        </w:tc>
        <w:tc>
          <w:tcPr>
            <w:tcW w:w="1670" w:type="dxa"/>
          </w:tcPr>
          <w:p w14:paraId="563E77BB">
            <w:pPr>
              <w:widowControl/>
              <w:spacing w:after="100" w:line="400" w:lineRule="exact"/>
              <w:rPr>
                <w:rFonts w:ascii="仿宋" w:hAnsi="仿宋" w:eastAsia="仿宋" w:cs="仿宋"/>
                <w:sz w:val="28"/>
                <w:szCs w:val="28"/>
              </w:rPr>
            </w:pPr>
          </w:p>
        </w:tc>
        <w:tc>
          <w:tcPr>
            <w:tcW w:w="1670" w:type="dxa"/>
          </w:tcPr>
          <w:p w14:paraId="595851A0">
            <w:pPr>
              <w:widowControl/>
              <w:spacing w:after="100" w:line="400" w:lineRule="exact"/>
              <w:rPr>
                <w:rFonts w:ascii="仿宋" w:hAnsi="仿宋" w:eastAsia="仿宋" w:cs="仿宋"/>
                <w:sz w:val="28"/>
                <w:szCs w:val="28"/>
              </w:rPr>
            </w:pPr>
          </w:p>
        </w:tc>
      </w:tr>
      <w:tr w14:paraId="08CBC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tcPr>
          <w:p w14:paraId="677D33FA">
            <w:pPr>
              <w:widowControl/>
              <w:spacing w:after="100" w:line="400" w:lineRule="exact"/>
              <w:jc w:val="center"/>
              <w:rPr>
                <w:rFonts w:ascii="仿宋" w:hAnsi="仿宋" w:eastAsia="仿宋" w:cs="仿宋"/>
                <w:sz w:val="28"/>
                <w:szCs w:val="28"/>
              </w:rPr>
            </w:pPr>
            <w:r>
              <w:rPr>
                <w:rFonts w:hint="eastAsia" w:ascii="仿宋" w:hAnsi="仿宋" w:eastAsia="仿宋" w:cs="仿宋"/>
                <w:sz w:val="28"/>
                <w:szCs w:val="28"/>
              </w:rPr>
              <w:t>3</w:t>
            </w:r>
          </w:p>
        </w:tc>
        <w:tc>
          <w:tcPr>
            <w:tcW w:w="1670" w:type="dxa"/>
          </w:tcPr>
          <w:p w14:paraId="3E2D6827">
            <w:pPr>
              <w:widowControl/>
              <w:spacing w:after="100" w:line="400" w:lineRule="exact"/>
              <w:rPr>
                <w:rFonts w:ascii="仿宋" w:hAnsi="仿宋" w:eastAsia="仿宋" w:cs="仿宋"/>
                <w:sz w:val="28"/>
                <w:szCs w:val="28"/>
              </w:rPr>
            </w:pPr>
          </w:p>
        </w:tc>
        <w:tc>
          <w:tcPr>
            <w:tcW w:w="1670" w:type="dxa"/>
          </w:tcPr>
          <w:p w14:paraId="7A0F41BB">
            <w:pPr>
              <w:widowControl/>
              <w:spacing w:after="100" w:line="400" w:lineRule="exact"/>
              <w:rPr>
                <w:rFonts w:ascii="仿宋" w:hAnsi="仿宋" w:eastAsia="仿宋" w:cs="仿宋"/>
                <w:sz w:val="28"/>
                <w:szCs w:val="28"/>
              </w:rPr>
            </w:pPr>
          </w:p>
        </w:tc>
        <w:tc>
          <w:tcPr>
            <w:tcW w:w="1670" w:type="dxa"/>
          </w:tcPr>
          <w:p w14:paraId="663C9ED3">
            <w:pPr>
              <w:widowControl/>
              <w:spacing w:after="100" w:line="400" w:lineRule="exact"/>
              <w:rPr>
                <w:rFonts w:ascii="仿宋" w:hAnsi="仿宋" w:eastAsia="仿宋" w:cs="仿宋"/>
                <w:sz w:val="28"/>
                <w:szCs w:val="28"/>
              </w:rPr>
            </w:pPr>
          </w:p>
        </w:tc>
        <w:tc>
          <w:tcPr>
            <w:tcW w:w="1670" w:type="dxa"/>
          </w:tcPr>
          <w:p w14:paraId="36E20AFC">
            <w:pPr>
              <w:widowControl/>
              <w:spacing w:after="100" w:line="400" w:lineRule="exact"/>
              <w:rPr>
                <w:rFonts w:ascii="仿宋" w:hAnsi="仿宋" w:eastAsia="仿宋" w:cs="仿宋"/>
                <w:sz w:val="28"/>
                <w:szCs w:val="28"/>
              </w:rPr>
            </w:pPr>
          </w:p>
        </w:tc>
        <w:tc>
          <w:tcPr>
            <w:tcW w:w="1670" w:type="dxa"/>
          </w:tcPr>
          <w:p w14:paraId="4934E192">
            <w:pPr>
              <w:widowControl/>
              <w:spacing w:after="100" w:line="400" w:lineRule="exact"/>
              <w:rPr>
                <w:rFonts w:ascii="仿宋" w:hAnsi="仿宋" w:eastAsia="仿宋" w:cs="仿宋"/>
                <w:sz w:val="28"/>
                <w:szCs w:val="28"/>
              </w:rPr>
            </w:pPr>
          </w:p>
        </w:tc>
      </w:tr>
      <w:tr w14:paraId="45423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tcPr>
          <w:p w14:paraId="6960DA6E">
            <w:pPr>
              <w:widowControl/>
              <w:spacing w:after="100" w:line="400" w:lineRule="exact"/>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w:t>
            </w:r>
          </w:p>
        </w:tc>
        <w:tc>
          <w:tcPr>
            <w:tcW w:w="1670" w:type="dxa"/>
          </w:tcPr>
          <w:p w14:paraId="59462628">
            <w:pPr>
              <w:widowControl/>
              <w:spacing w:after="100" w:line="400" w:lineRule="exact"/>
              <w:rPr>
                <w:rFonts w:ascii="仿宋" w:hAnsi="仿宋" w:eastAsia="仿宋" w:cs="仿宋"/>
                <w:sz w:val="28"/>
                <w:szCs w:val="28"/>
              </w:rPr>
            </w:pPr>
          </w:p>
        </w:tc>
        <w:tc>
          <w:tcPr>
            <w:tcW w:w="1670" w:type="dxa"/>
          </w:tcPr>
          <w:p w14:paraId="58F6F089">
            <w:pPr>
              <w:widowControl/>
              <w:spacing w:after="100" w:line="400" w:lineRule="exact"/>
              <w:rPr>
                <w:rFonts w:ascii="仿宋" w:hAnsi="仿宋" w:eastAsia="仿宋" w:cs="仿宋"/>
                <w:sz w:val="28"/>
                <w:szCs w:val="28"/>
              </w:rPr>
            </w:pPr>
          </w:p>
        </w:tc>
        <w:tc>
          <w:tcPr>
            <w:tcW w:w="1670" w:type="dxa"/>
          </w:tcPr>
          <w:p w14:paraId="4F8DB656">
            <w:pPr>
              <w:widowControl/>
              <w:spacing w:after="100" w:line="400" w:lineRule="exact"/>
              <w:rPr>
                <w:rFonts w:ascii="仿宋" w:hAnsi="仿宋" w:eastAsia="仿宋" w:cs="仿宋"/>
                <w:sz w:val="28"/>
                <w:szCs w:val="28"/>
              </w:rPr>
            </w:pPr>
          </w:p>
        </w:tc>
        <w:tc>
          <w:tcPr>
            <w:tcW w:w="1670" w:type="dxa"/>
          </w:tcPr>
          <w:p w14:paraId="3C5BC525">
            <w:pPr>
              <w:widowControl/>
              <w:spacing w:after="100" w:line="400" w:lineRule="exact"/>
              <w:rPr>
                <w:rFonts w:ascii="仿宋" w:hAnsi="仿宋" w:eastAsia="仿宋" w:cs="仿宋"/>
                <w:sz w:val="28"/>
                <w:szCs w:val="28"/>
              </w:rPr>
            </w:pPr>
          </w:p>
        </w:tc>
        <w:tc>
          <w:tcPr>
            <w:tcW w:w="1670" w:type="dxa"/>
          </w:tcPr>
          <w:p w14:paraId="7A61AA70">
            <w:pPr>
              <w:widowControl/>
              <w:spacing w:after="100" w:line="400" w:lineRule="exact"/>
              <w:rPr>
                <w:rFonts w:ascii="仿宋" w:hAnsi="仿宋" w:eastAsia="仿宋" w:cs="仿宋"/>
                <w:sz w:val="28"/>
                <w:szCs w:val="28"/>
              </w:rPr>
            </w:pPr>
          </w:p>
        </w:tc>
      </w:tr>
      <w:tr w14:paraId="1DFBF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tcPr>
          <w:p w14:paraId="5960559E">
            <w:pPr>
              <w:widowControl/>
              <w:spacing w:after="100" w:line="400" w:lineRule="exact"/>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w:t>
            </w:r>
          </w:p>
        </w:tc>
        <w:tc>
          <w:tcPr>
            <w:tcW w:w="1670" w:type="dxa"/>
          </w:tcPr>
          <w:p w14:paraId="71429D33">
            <w:pPr>
              <w:widowControl/>
              <w:spacing w:after="100" w:line="400" w:lineRule="exact"/>
              <w:rPr>
                <w:rFonts w:ascii="仿宋" w:hAnsi="仿宋" w:eastAsia="仿宋" w:cs="仿宋"/>
                <w:sz w:val="28"/>
                <w:szCs w:val="28"/>
              </w:rPr>
            </w:pPr>
          </w:p>
        </w:tc>
        <w:tc>
          <w:tcPr>
            <w:tcW w:w="1670" w:type="dxa"/>
          </w:tcPr>
          <w:p w14:paraId="3946F472">
            <w:pPr>
              <w:widowControl/>
              <w:spacing w:after="100" w:line="400" w:lineRule="exact"/>
              <w:rPr>
                <w:rFonts w:ascii="仿宋" w:hAnsi="仿宋" w:eastAsia="仿宋" w:cs="仿宋"/>
                <w:sz w:val="28"/>
                <w:szCs w:val="28"/>
              </w:rPr>
            </w:pPr>
          </w:p>
        </w:tc>
        <w:tc>
          <w:tcPr>
            <w:tcW w:w="1670" w:type="dxa"/>
          </w:tcPr>
          <w:p w14:paraId="4A7CED2A">
            <w:pPr>
              <w:widowControl/>
              <w:spacing w:after="100" w:line="400" w:lineRule="exact"/>
              <w:rPr>
                <w:rFonts w:ascii="仿宋" w:hAnsi="仿宋" w:eastAsia="仿宋" w:cs="仿宋"/>
                <w:sz w:val="28"/>
                <w:szCs w:val="28"/>
              </w:rPr>
            </w:pPr>
          </w:p>
        </w:tc>
        <w:tc>
          <w:tcPr>
            <w:tcW w:w="1670" w:type="dxa"/>
          </w:tcPr>
          <w:p w14:paraId="7E3CA331">
            <w:pPr>
              <w:widowControl/>
              <w:spacing w:after="100" w:line="400" w:lineRule="exact"/>
              <w:rPr>
                <w:rFonts w:ascii="仿宋" w:hAnsi="仿宋" w:eastAsia="仿宋" w:cs="仿宋"/>
                <w:sz w:val="28"/>
                <w:szCs w:val="28"/>
              </w:rPr>
            </w:pPr>
          </w:p>
        </w:tc>
        <w:tc>
          <w:tcPr>
            <w:tcW w:w="1670" w:type="dxa"/>
          </w:tcPr>
          <w:p w14:paraId="1FB782D7">
            <w:pPr>
              <w:widowControl/>
              <w:spacing w:after="100" w:line="400" w:lineRule="exact"/>
              <w:rPr>
                <w:rFonts w:ascii="仿宋" w:hAnsi="仿宋" w:eastAsia="仿宋" w:cs="仿宋"/>
                <w:sz w:val="28"/>
                <w:szCs w:val="28"/>
              </w:rPr>
            </w:pPr>
          </w:p>
        </w:tc>
      </w:tr>
      <w:tr w14:paraId="4D416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tcPr>
          <w:p w14:paraId="007BBFD6">
            <w:pPr>
              <w:widowControl/>
              <w:spacing w:after="100" w:line="400" w:lineRule="exact"/>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w:t>
            </w:r>
          </w:p>
        </w:tc>
        <w:tc>
          <w:tcPr>
            <w:tcW w:w="1670" w:type="dxa"/>
          </w:tcPr>
          <w:p w14:paraId="6B4DB798">
            <w:pPr>
              <w:widowControl/>
              <w:spacing w:after="100" w:line="400" w:lineRule="exact"/>
              <w:rPr>
                <w:rFonts w:ascii="仿宋" w:hAnsi="仿宋" w:eastAsia="仿宋" w:cs="仿宋"/>
                <w:sz w:val="28"/>
                <w:szCs w:val="28"/>
              </w:rPr>
            </w:pPr>
          </w:p>
        </w:tc>
        <w:tc>
          <w:tcPr>
            <w:tcW w:w="1670" w:type="dxa"/>
          </w:tcPr>
          <w:p w14:paraId="6921F84F">
            <w:pPr>
              <w:widowControl/>
              <w:spacing w:after="100" w:line="400" w:lineRule="exact"/>
              <w:rPr>
                <w:rFonts w:ascii="仿宋" w:hAnsi="仿宋" w:eastAsia="仿宋" w:cs="仿宋"/>
                <w:sz w:val="28"/>
                <w:szCs w:val="28"/>
              </w:rPr>
            </w:pPr>
          </w:p>
        </w:tc>
        <w:tc>
          <w:tcPr>
            <w:tcW w:w="1670" w:type="dxa"/>
          </w:tcPr>
          <w:p w14:paraId="0CA2EABF">
            <w:pPr>
              <w:widowControl/>
              <w:spacing w:after="100" w:line="400" w:lineRule="exact"/>
              <w:rPr>
                <w:rFonts w:ascii="仿宋" w:hAnsi="仿宋" w:eastAsia="仿宋" w:cs="仿宋"/>
                <w:sz w:val="28"/>
                <w:szCs w:val="28"/>
              </w:rPr>
            </w:pPr>
          </w:p>
        </w:tc>
        <w:tc>
          <w:tcPr>
            <w:tcW w:w="1670" w:type="dxa"/>
          </w:tcPr>
          <w:p w14:paraId="68F7581B">
            <w:pPr>
              <w:widowControl/>
              <w:spacing w:after="100" w:line="400" w:lineRule="exact"/>
              <w:rPr>
                <w:rFonts w:ascii="仿宋" w:hAnsi="仿宋" w:eastAsia="仿宋" w:cs="仿宋"/>
                <w:sz w:val="28"/>
                <w:szCs w:val="28"/>
              </w:rPr>
            </w:pPr>
          </w:p>
        </w:tc>
        <w:tc>
          <w:tcPr>
            <w:tcW w:w="1670" w:type="dxa"/>
          </w:tcPr>
          <w:p w14:paraId="127FBE39">
            <w:pPr>
              <w:widowControl/>
              <w:spacing w:after="100" w:line="400" w:lineRule="exact"/>
              <w:rPr>
                <w:rFonts w:ascii="仿宋" w:hAnsi="仿宋" w:eastAsia="仿宋" w:cs="仿宋"/>
                <w:sz w:val="28"/>
                <w:szCs w:val="28"/>
              </w:rPr>
            </w:pPr>
          </w:p>
        </w:tc>
      </w:tr>
      <w:tr w14:paraId="4B994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tcPr>
          <w:p w14:paraId="186F4E80">
            <w:pPr>
              <w:widowControl/>
              <w:spacing w:after="100" w:line="400" w:lineRule="exact"/>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7</w:t>
            </w:r>
          </w:p>
        </w:tc>
        <w:tc>
          <w:tcPr>
            <w:tcW w:w="1670" w:type="dxa"/>
          </w:tcPr>
          <w:p w14:paraId="64FBC298">
            <w:pPr>
              <w:widowControl/>
              <w:spacing w:after="100" w:line="400" w:lineRule="exact"/>
              <w:rPr>
                <w:rFonts w:ascii="仿宋" w:hAnsi="仿宋" w:eastAsia="仿宋" w:cs="仿宋"/>
                <w:sz w:val="28"/>
                <w:szCs w:val="28"/>
              </w:rPr>
            </w:pPr>
          </w:p>
        </w:tc>
        <w:tc>
          <w:tcPr>
            <w:tcW w:w="1670" w:type="dxa"/>
          </w:tcPr>
          <w:p w14:paraId="42C132F2">
            <w:pPr>
              <w:widowControl/>
              <w:spacing w:after="100" w:line="400" w:lineRule="exact"/>
              <w:rPr>
                <w:rFonts w:ascii="仿宋" w:hAnsi="仿宋" w:eastAsia="仿宋" w:cs="仿宋"/>
                <w:sz w:val="28"/>
                <w:szCs w:val="28"/>
              </w:rPr>
            </w:pPr>
          </w:p>
        </w:tc>
        <w:tc>
          <w:tcPr>
            <w:tcW w:w="1670" w:type="dxa"/>
          </w:tcPr>
          <w:p w14:paraId="1CE6529E">
            <w:pPr>
              <w:widowControl/>
              <w:spacing w:after="100" w:line="400" w:lineRule="exact"/>
              <w:rPr>
                <w:rFonts w:ascii="仿宋" w:hAnsi="仿宋" w:eastAsia="仿宋" w:cs="仿宋"/>
                <w:sz w:val="28"/>
                <w:szCs w:val="28"/>
              </w:rPr>
            </w:pPr>
          </w:p>
        </w:tc>
        <w:tc>
          <w:tcPr>
            <w:tcW w:w="1670" w:type="dxa"/>
          </w:tcPr>
          <w:p w14:paraId="31CE1322">
            <w:pPr>
              <w:widowControl/>
              <w:spacing w:after="100" w:line="400" w:lineRule="exact"/>
              <w:rPr>
                <w:rFonts w:ascii="仿宋" w:hAnsi="仿宋" w:eastAsia="仿宋" w:cs="仿宋"/>
                <w:sz w:val="28"/>
                <w:szCs w:val="28"/>
              </w:rPr>
            </w:pPr>
          </w:p>
        </w:tc>
        <w:tc>
          <w:tcPr>
            <w:tcW w:w="1670" w:type="dxa"/>
          </w:tcPr>
          <w:p w14:paraId="6D427BFE">
            <w:pPr>
              <w:widowControl/>
              <w:spacing w:after="100" w:line="400" w:lineRule="exact"/>
              <w:rPr>
                <w:rFonts w:ascii="仿宋" w:hAnsi="仿宋" w:eastAsia="仿宋" w:cs="仿宋"/>
                <w:sz w:val="28"/>
                <w:szCs w:val="28"/>
              </w:rPr>
            </w:pPr>
          </w:p>
        </w:tc>
      </w:tr>
      <w:tr w14:paraId="430F5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tcPr>
          <w:p w14:paraId="5AC0CF0C">
            <w:pPr>
              <w:widowControl/>
              <w:spacing w:after="100" w:line="400" w:lineRule="exact"/>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8</w:t>
            </w:r>
          </w:p>
        </w:tc>
        <w:tc>
          <w:tcPr>
            <w:tcW w:w="1670" w:type="dxa"/>
          </w:tcPr>
          <w:p w14:paraId="69232CF5">
            <w:pPr>
              <w:widowControl/>
              <w:spacing w:after="100" w:line="400" w:lineRule="exact"/>
              <w:rPr>
                <w:rFonts w:ascii="仿宋" w:hAnsi="仿宋" w:eastAsia="仿宋" w:cs="仿宋"/>
                <w:sz w:val="28"/>
                <w:szCs w:val="28"/>
              </w:rPr>
            </w:pPr>
          </w:p>
        </w:tc>
        <w:tc>
          <w:tcPr>
            <w:tcW w:w="1670" w:type="dxa"/>
          </w:tcPr>
          <w:p w14:paraId="1C748283">
            <w:pPr>
              <w:widowControl/>
              <w:spacing w:after="100" w:line="400" w:lineRule="exact"/>
              <w:rPr>
                <w:rFonts w:ascii="仿宋" w:hAnsi="仿宋" w:eastAsia="仿宋" w:cs="仿宋"/>
                <w:sz w:val="28"/>
                <w:szCs w:val="28"/>
              </w:rPr>
            </w:pPr>
          </w:p>
        </w:tc>
        <w:tc>
          <w:tcPr>
            <w:tcW w:w="1670" w:type="dxa"/>
          </w:tcPr>
          <w:p w14:paraId="432B17D2">
            <w:pPr>
              <w:widowControl/>
              <w:spacing w:after="100" w:line="400" w:lineRule="exact"/>
              <w:rPr>
                <w:rFonts w:ascii="仿宋" w:hAnsi="仿宋" w:eastAsia="仿宋" w:cs="仿宋"/>
                <w:sz w:val="28"/>
                <w:szCs w:val="28"/>
              </w:rPr>
            </w:pPr>
          </w:p>
        </w:tc>
        <w:tc>
          <w:tcPr>
            <w:tcW w:w="1670" w:type="dxa"/>
          </w:tcPr>
          <w:p w14:paraId="37B16EDD">
            <w:pPr>
              <w:widowControl/>
              <w:spacing w:after="100" w:line="400" w:lineRule="exact"/>
              <w:rPr>
                <w:rFonts w:ascii="仿宋" w:hAnsi="仿宋" w:eastAsia="仿宋" w:cs="仿宋"/>
                <w:sz w:val="28"/>
                <w:szCs w:val="28"/>
              </w:rPr>
            </w:pPr>
          </w:p>
        </w:tc>
        <w:tc>
          <w:tcPr>
            <w:tcW w:w="1670" w:type="dxa"/>
          </w:tcPr>
          <w:p w14:paraId="0DFF0CBD">
            <w:pPr>
              <w:widowControl/>
              <w:spacing w:after="100" w:line="400" w:lineRule="exact"/>
              <w:rPr>
                <w:rFonts w:ascii="仿宋" w:hAnsi="仿宋" w:eastAsia="仿宋" w:cs="仿宋"/>
                <w:sz w:val="28"/>
                <w:szCs w:val="28"/>
              </w:rPr>
            </w:pPr>
          </w:p>
        </w:tc>
      </w:tr>
      <w:tr w14:paraId="4C3B4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 w:type="dxa"/>
            <w:vAlign w:val="center"/>
          </w:tcPr>
          <w:p w14:paraId="5A1CF222">
            <w:pPr>
              <w:widowControl/>
              <w:spacing w:after="100" w:line="400" w:lineRule="exact"/>
              <w:jc w:val="center"/>
              <w:rPr>
                <w:rFonts w:ascii="仿宋" w:hAnsi="仿宋" w:eastAsia="仿宋" w:cs="仿宋"/>
                <w:b/>
                <w:bCs/>
                <w:sz w:val="28"/>
                <w:szCs w:val="28"/>
              </w:rPr>
            </w:pPr>
            <w:r>
              <w:rPr>
                <w:rFonts w:hint="eastAsia" w:ascii="仿宋" w:hAnsi="仿宋" w:eastAsia="仿宋" w:cs="仿宋"/>
                <w:b/>
                <w:bCs/>
                <w:sz w:val="28"/>
                <w:szCs w:val="28"/>
              </w:rPr>
              <w:t>合计</w:t>
            </w:r>
          </w:p>
        </w:tc>
        <w:tc>
          <w:tcPr>
            <w:tcW w:w="8350" w:type="dxa"/>
            <w:gridSpan w:val="5"/>
            <w:vAlign w:val="center"/>
          </w:tcPr>
          <w:p w14:paraId="4BB12C53">
            <w:pPr>
              <w:widowControl/>
              <w:spacing w:after="100" w:line="400" w:lineRule="exact"/>
              <w:jc w:val="left"/>
              <w:rPr>
                <w:rFonts w:ascii="仿宋" w:hAnsi="仿宋" w:eastAsia="仿宋" w:cs="仿宋"/>
                <w:b/>
                <w:bCs/>
                <w:sz w:val="28"/>
                <w:szCs w:val="28"/>
              </w:rPr>
            </w:pPr>
            <w:r>
              <w:rPr>
                <w:rFonts w:hint="eastAsia" w:ascii="仿宋" w:hAnsi="仿宋" w:eastAsia="仿宋" w:cs="仿宋"/>
                <w:b/>
                <w:bCs/>
                <w:sz w:val="28"/>
                <w:szCs w:val="28"/>
              </w:rPr>
              <w:t xml:space="preserve"> 合同总金额  元（大写：   圆）</w:t>
            </w:r>
          </w:p>
          <w:p w14:paraId="1EF087B6">
            <w:pPr>
              <w:widowControl/>
              <w:spacing w:after="100" w:line="400" w:lineRule="exact"/>
              <w:jc w:val="left"/>
              <w:rPr>
                <w:rFonts w:ascii="仿宋" w:hAnsi="仿宋" w:eastAsia="仿宋" w:cs="仿宋"/>
                <w:b/>
                <w:bCs/>
                <w:sz w:val="28"/>
                <w:szCs w:val="28"/>
              </w:rPr>
            </w:pPr>
            <w:r>
              <w:rPr>
                <w:rFonts w:hint="eastAsia" w:ascii="仿宋" w:hAnsi="仿宋" w:eastAsia="仿宋" w:cs="仿宋"/>
                <w:b/>
                <w:bCs/>
                <w:sz w:val="28"/>
                <w:szCs w:val="28"/>
              </w:rPr>
              <w:t>（其中不含税金额  元，增值税金额  元）（最终以税务部门规定为准）。</w:t>
            </w:r>
          </w:p>
        </w:tc>
      </w:tr>
    </w:tbl>
    <w:p w14:paraId="21D8A51B">
      <w:pPr>
        <w:widowControl/>
        <w:shd w:val="clear" w:color="auto" w:fill="FFFFFF"/>
        <w:spacing w:before="100" w:line="400" w:lineRule="exact"/>
        <w:ind w:firstLine="560" w:firstLineChars="200"/>
        <w:rPr>
          <w:rFonts w:ascii="仿宋" w:hAnsi="仿宋" w:eastAsia="仿宋" w:cs="仿宋"/>
          <w:kern w:val="0"/>
          <w:sz w:val="28"/>
          <w:szCs w:val="28"/>
        </w:rPr>
      </w:pPr>
      <w:r>
        <w:rPr>
          <w:rFonts w:hint="eastAsia" w:ascii="仿宋" w:hAnsi="仿宋" w:eastAsia="仿宋" w:cs="仿宋"/>
          <w:kern w:val="0"/>
          <w:sz w:val="28"/>
          <w:szCs w:val="28"/>
        </w:rPr>
        <w:t>（三）在合同期内，乙方必须按规定期限缴交合同租金。凡拖欠合同租金的，需加收违约金，违约金每天按照所欠合同租金金额2‰计算。如乙方拖欠甲方合同租金总金额达到30天，则视作乙方根本违约，甲方有权单方解除合同，无偿收回租赁物业、场地及其附属设施，没收合同履约保证金，已收取的合同租金不予退还，并追究乙方责任及由此造成甲方的经济损失。</w:t>
      </w:r>
    </w:p>
    <w:p w14:paraId="60FE5056">
      <w:pPr>
        <w:widowControl/>
        <w:spacing w:line="400" w:lineRule="exact"/>
        <w:ind w:firstLine="562" w:firstLineChars="200"/>
        <w:rPr>
          <w:rFonts w:ascii="仿宋" w:hAnsi="仿宋" w:eastAsia="仿宋" w:cs="仿宋"/>
          <w:b/>
          <w:bCs/>
          <w:kern w:val="0"/>
          <w:sz w:val="28"/>
          <w:szCs w:val="28"/>
        </w:rPr>
      </w:pPr>
      <w:r>
        <w:rPr>
          <w:rFonts w:hint="eastAsia" w:ascii="仿宋" w:hAnsi="仿宋" w:eastAsia="仿宋" w:cs="仿宋"/>
          <w:b/>
          <w:bCs/>
          <w:kern w:val="0"/>
          <w:sz w:val="28"/>
          <w:szCs w:val="28"/>
        </w:rPr>
        <w:t>第四条  物业交付</w:t>
      </w:r>
    </w:p>
    <w:p w14:paraId="7C1A9950">
      <w:pPr>
        <w:widowControl/>
        <w:spacing w:line="400" w:lineRule="exact"/>
        <w:ind w:firstLine="565" w:firstLineChars="202"/>
        <w:jc w:val="left"/>
        <w:rPr>
          <w:rFonts w:ascii="仿宋_GB2312" w:eastAsia="仿宋_GB2312" w:cs="仿宋_GB2312"/>
          <w:sz w:val="28"/>
          <w:szCs w:val="28"/>
        </w:rPr>
      </w:pPr>
      <w:r>
        <w:rPr>
          <w:rFonts w:hint="eastAsia" w:ascii="仿宋_GB2312" w:eastAsia="仿宋_GB2312" w:cs="仿宋_GB2312"/>
          <w:sz w:val="28"/>
          <w:szCs w:val="28"/>
        </w:rPr>
        <w:t>（一）甲方于</w:t>
      </w:r>
      <w:r>
        <w:rPr>
          <w:rFonts w:hint="eastAsia" w:ascii="仿宋_GB2312" w:eastAsia="仿宋_GB2312" w:cs="仿宋_GB2312"/>
          <w:sz w:val="28"/>
          <w:szCs w:val="28"/>
          <w:u w:val="single"/>
        </w:rPr>
        <w:t xml:space="preserve">     年  月  日</w:t>
      </w:r>
      <w:r>
        <w:rPr>
          <w:rFonts w:hint="eastAsia" w:ascii="仿宋_GB2312" w:eastAsia="仿宋_GB2312" w:cs="仿宋_GB2312"/>
          <w:sz w:val="28"/>
          <w:szCs w:val="28"/>
        </w:rPr>
        <w:t>（合同期起始日）（以合同签订时间为准）将该物业及场地交付乙方使用。该物业、场地及其附属设施等明细附件说明，将作为乙方在本合同期满交还该物业、场地及其附属设施时的验收依据。</w:t>
      </w:r>
    </w:p>
    <w:p w14:paraId="7D8732FE">
      <w:pPr>
        <w:widowControl/>
        <w:spacing w:line="400" w:lineRule="exact"/>
        <w:ind w:firstLine="565" w:firstLineChars="202"/>
        <w:jc w:val="left"/>
        <w:rPr>
          <w:rFonts w:ascii="仿宋_GB2312" w:eastAsia="仿宋_GB2312" w:cs="仿宋_GB2312"/>
          <w:sz w:val="28"/>
          <w:szCs w:val="28"/>
        </w:rPr>
      </w:pPr>
      <w:r>
        <w:rPr>
          <w:rFonts w:hint="eastAsia" w:ascii="仿宋_GB2312" w:eastAsia="仿宋_GB2312" w:cs="仿宋_GB2312"/>
          <w:sz w:val="28"/>
          <w:szCs w:val="28"/>
        </w:rPr>
        <w:t>（二）合同届满，乙方于</w:t>
      </w:r>
      <w:r>
        <w:rPr>
          <w:rFonts w:hint="eastAsia" w:ascii="仿宋_GB2312" w:eastAsia="仿宋_GB2312" w:cs="仿宋_GB2312"/>
          <w:sz w:val="28"/>
          <w:szCs w:val="28"/>
          <w:u w:val="single"/>
        </w:rPr>
        <w:t xml:space="preserve">    年  月  日</w:t>
      </w:r>
      <w:r>
        <w:rPr>
          <w:rFonts w:hint="eastAsia" w:ascii="仿宋_GB2312" w:eastAsia="仿宋_GB2312" w:cs="仿宋_GB2312"/>
          <w:sz w:val="28"/>
          <w:szCs w:val="28"/>
        </w:rPr>
        <w:t>（合同期届满之日）（以合同签订时间为准）将该物业、场地及其附属设施无偿交付给甲方，逾期按当期双倍合同月租金标准支付占用费。</w:t>
      </w:r>
    </w:p>
    <w:p w14:paraId="52A1E4EB">
      <w:pPr>
        <w:widowControl/>
        <w:spacing w:line="400" w:lineRule="exact"/>
        <w:ind w:firstLine="565" w:firstLineChars="202"/>
        <w:jc w:val="left"/>
        <w:rPr>
          <w:rFonts w:ascii="仿宋_GB2312" w:eastAsia="仿宋_GB2312" w:cs="仿宋_GB2312"/>
          <w:sz w:val="28"/>
          <w:szCs w:val="28"/>
        </w:rPr>
      </w:pPr>
      <w:r>
        <w:rPr>
          <w:rFonts w:hint="eastAsia" w:ascii="仿宋_GB2312" w:eastAsia="仿宋_GB2312" w:cs="仿宋_GB2312"/>
          <w:sz w:val="28"/>
          <w:szCs w:val="28"/>
        </w:rPr>
        <w:t>（三）合同期间，甲乙双方解除或终止合同，乙方应在解除或终止合同之日将该物业、场地及其附属设施（包括但不限于合法合规的增设建（构）筑物及报装的各类附属设施）无偿交还给甲方，逾期按当期双倍合同月租金标准支付占用费。</w:t>
      </w:r>
    </w:p>
    <w:p w14:paraId="616C3515">
      <w:pPr>
        <w:widowControl/>
        <w:spacing w:line="400" w:lineRule="exact"/>
        <w:ind w:firstLine="565" w:firstLineChars="202"/>
        <w:jc w:val="left"/>
        <w:rPr>
          <w:rFonts w:ascii="仿宋_GB2312" w:eastAsia="仿宋_GB2312" w:cs="仿宋_GB2312"/>
          <w:sz w:val="28"/>
          <w:szCs w:val="28"/>
        </w:rPr>
      </w:pPr>
      <w:r>
        <w:rPr>
          <w:rFonts w:hint="eastAsia" w:ascii="仿宋_GB2312" w:eastAsia="仿宋_GB2312" w:cs="仿宋_GB2312"/>
          <w:sz w:val="28"/>
          <w:szCs w:val="28"/>
        </w:rPr>
        <w:t>（四）合同届满或合同解除、终止，乙方在期满或终止日前自行清理租赁物业及场地内属于乙方的设备、物品，逾期七天未清理的，视乙方自愿放弃，甲方有权自行处置，乙方承担有关清理费用并按当期双倍合同月租金标准支付占用费。</w:t>
      </w:r>
    </w:p>
    <w:p w14:paraId="5D364B12">
      <w:pPr>
        <w:widowControl/>
        <w:spacing w:line="400" w:lineRule="exact"/>
        <w:ind w:firstLine="568" w:firstLineChars="202"/>
        <w:jc w:val="left"/>
        <w:rPr>
          <w:rFonts w:ascii="仿宋_GB2312" w:eastAsia="仿宋_GB2312"/>
          <w:b/>
          <w:bCs/>
          <w:sz w:val="28"/>
          <w:szCs w:val="28"/>
        </w:rPr>
      </w:pPr>
      <w:r>
        <w:rPr>
          <w:rFonts w:hint="eastAsia" w:ascii="仿宋_GB2312" w:eastAsia="仿宋_GB2312"/>
          <w:b/>
          <w:bCs/>
          <w:sz w:val="28"/>
          <w:szCs w:val="28"/>
        </w:rPr>
        <w:t>第五条  权利和义务</w:t>
      </w:r>
    </w:p>
    <w:p w14:paraId="0650CB16">
      <w:pPr>
        <w:widowControl/>
        <w:spacing w:line="400" w:lineRule="exact"/>
        <w:ind w:firstLine="565" w:firstLineChars="202"/>
        <w:jc w:val="left"/>
        <w:rPr>
          <w:rFonts w:ascii="仿宋_GB2312" w:eastAsia="仿宋_GB2312"/>
          <w:sz w:val="28"/>
          <w:szCs w:val="28"/>
        </w:rPr>
      </w:pPr>
      <w:r>
        <w:rPr>
          <w:rFonts w:hint="eastAsia" w:ascii="仿宋_GB2312" w:eastAsia="仿宋_GB2312"/>
          <w:sz w:val="28"/>
          <w:szCs w:val="28"/>
        </w:rPr>
        <w:t>（一）甲方的权利和义务</w:t>
      </w:r>
    </w:p>
    <w:p w14:paraId="4F83B261">
      <w:pPr>
        <w:widowControl/>
        <w:spacing w:line="400" w:lineRule="exact"/>
        <w:ind w:firstLine="565" w:firstLineChars="202"/>
        <w:jc w:val="left"/>
        <w:rPr>
          <w:rFonts w:ascii="仿宋_GB2312" w:eastAsia="仿宋_GB2312"/>
          <w:sz w:val="28"/>
          <w:szCs w:val="28"/>
        </w:rPr>
      </w:pPr>
      <w:r>
        <w:rPr>
          <w:rFonts w:hint="eastAsia" w:ascii="仿宋_GB2312" w:eastAsia="仿宋_GB2312"/>
          <w:sz w:val="28"/>
          <w:szCs w:val="28"/>
        </w:rPr>
        <w:t>1.对租赁物业、场地及其附属设施拥有所有权。对租赁物业、场地及其附属设施的使用进行监督，监督乙方对租赁物业、场地及其附属设施正常使用和维护。乙方擅自改变租赁物业、场地及其附属设施用途的，甲方有权单方解除合同，无偿收回租赁物业、场地及其附属设施使用权，所收取的合同履约保证金、合同租金不予退还。</w:t>
      </w:r>
    </w:p>
    <w:p w14:paraId="20C23859">
      <w:pPr>
        <w:widowControl/>
        <w:spacing w:line="400" w:lineRule="exact"/>
        <w:ind w:firstLine="565" w:firstLineChars="202"/>
        <w:jc w:val="left"/>
        <w:rPr>
          <w:rFonts w:ascii="仿宋_GB2312" w:eastAsia="仿宋_GB2312"/>
          <w:sz w:val="28"/>
          <w:szCs w:val="28"/>
        </w:rPr>
      </w:pPr>
      <w:r>
        <w:rPr>
          <w:rFonts w:hint="eastAsia" w:ascii="仿宋_GB2312" w:eastAsia="仿宋_GB2312"/>
          <w:sz w:val="28"/>
          <w:szCs w:val="28"/>
        </w:rPr>
        <w:t>2.乙方须获得甲方的书面同意后方能对标的物业进行装修、改造；如增设建（构）筑物、加装电梯、报装消防设备等需向有关部门申请，产生的一切费用、所需的政府文件、手续均由乙方自行承担，并获得相关部门许可后方可进行。若乙方违反上述约定，则视为乙方严重违约，甲方有权单方解除合同，没收合同履约保证金，并追究乙方的违约责任。如施工过程中引起的人身、财产损失由乙方自行承担赔偿责任，造成甲方原物业毁损的由乙方承担赔偿责任。乙方增设建（构）筑物及报装的各类附属设施的所有权均无偿归甲方所有；租赁期满，甲方有权要求乙方按物业现状无偿交还或恢复物业原状、拆除增设建（构）筑物，乙方应无条件配合，如产生恢复原状之费用则由乙方承担。</w:t>
      </w:r>
    </w:p>
    <w:p w14:paraId="42545DC6">
      <w:pPr>
        <w:widowControl/>
        <w:spacing w:line="400" w:lineRule="exact"/>
        <w:ind w:firstLine="565" w:firstLineChars="202"/>
        <w:jc w:val="left"/>
        <w:rPr>
          <w:rFonts w:ascii="仿宋_GB2312" w:eastAsia="仿宋_GB2312"/>
          <w:sz w:val="28"/>
          <w:szCs w:val="28"/>
        </w:rPr>
      </w:pPr>
      <w:r>
        <w:rPr>
          <w:rFonts w:hint="eastAsia" w:ascii="仿宋_GB2312" w:eastAsia="仿宋_GB2312"/>
          <w:sz w:val="28"/>
          <w:szCs w:val="28"/>
        </w:rPr>
        <w:t>3.如不能按时将本合同项下的租赁物业、场地及其附属设施交给乙方使用，每迟延一天，应按收取合同租金金额的</w:t>
      </w:r>
      <w:r>
        <w:rPr>
          <w:rFonts w:hint="eastAsia" w:ascii="仿宋_GB2312" w:eastAsia="仿宋_GB2312"/>
          <w:sz w:val="28"/>
          <w:szCs w:val="28"/>
          <w:u w:val="single"/>
        </w:rPr>
        <w:t>2‰</w:t>
      </w:r>
      <w:r>
        <w:rPr>
          <w:rFonts w:hint="eastAsia" w:ascii="仿宋_GB2312" w:eastAsia="仿宋_GB2312"/>
          <w:sz w:val="28"/>
          <w:szCs w:val="28"/>
        </w:rPr>
        <w:t>向乙方支付违约金。</w:t>
      </w:r>
    </w:p>
    <w:p w14:paraId="4F4EE5CE">
      <w:pPr>
        <w:widowControl/>
        <w:spacing w:line="400" w:lineRule="exact"/>
        <w:ind w:firstLine="565" w:firstLineChars="202"/>
        <w:jc w:val="left"/>
        <w:rPr>
          <w:rFonts w:ascii="仿宋_GB2312" w:eastAsia="仿宋_GB2312"/>
          <w:sz w:val="28"/>
          <w:szCs w:val="28"/>
        </w:rPr>
      </w:pPr>
      <w:r>
        <w:rPr>
          <w:rFonts w:hint="eastAsia" w:ascii="仿宋_GB2312" w:eastAsia="仿宋_GB2312"/>
          <w:sz w:val="28"/>
          <w:szCs w:val="28"/>
        </w:rPr>
        <w:t>4.未经乙方同意，不得违反合同约定提高合同租金金额。</w:t>
      </w:r>
    </w:p>
    <w:p w14:paraId="1B3B4EDF">
      <w:pPr>
        <w:widowControl/>
        <w:spacing w:line="400" w:lineRule="exact"/>
        <w:ind w:firstLine="565" w:firstLineChars="202"/>
        <w:jc w:val="left"/>
        <w:rPr>
          <w:rFonts w:ascii="仿宋_GB2312" w:eastAsia="仿宋_GB2312"/>
          <w:sz w:val="28"/>
          <w:szCs w:val="28"/>
        </w:rPr>
      </w:pPr>
      <w:r>
        <w:rPr>
          <w:rFonts w:hint="eastAsia" w:ascii="仿宋_GB2312" w:eastAsia="仿宋_GB2312"/>
          <w:sz w:val="28"/>
          <w:szCs w:val="28"/>
        </w:rPr>
        <w:t>5.履行国家、省、市关于物业及场地租赁有关法律法规和管理规定，并配合有关部门做好租赁物业、场地及其附属设施的租赁、物业安全、消防安全、治安及生产销售假冒伪劣商品的查处工作。</w:t>
      </w:r>
    </w:p>
    <w:p w14:paraId="25C8B7C0">
      <w:pPr>
        <w:widowControl/>
        <w:spacing w:line="400" w:lineRule="exact"/>
        <w:ind w:firstLine="565" w:firstLineChars="202"/>
        <w:jc w:val="left"/>
        <w:rPr>
          <w:rFonts w:ascii="仿宋_GB2312" w:eastAsia="仿宋_GB2312"/>
          <w:sz w:val="28"/>
          <w:szCs w:val="28"/>
        </w:rPr>
      </w:pPr>
      <w:r>
        <w:rPr>
          <w:rFonts w:hint="eastAsia" w:ascii="仿宋_GB2312" w:eastAsia="仿宋_GB2312"/>
          <w:sz w:val="28"/>
          <w:szCs w:val="28"/>
        </w:rPr>
        <w:t>6.合同租赁期满或因故终止时，乙方应在届满或终止之日，按租赁物业、场地及其附属设施正常使用现状（包括但不限于增设建（构）筑物及报装的各类附属设施）无偿交还给甲方；如乙方故意毁坏的，则评估计价赔偿给出租方；如甲方要求恢复原状、拆除增建建筑物交还的，产生的相关费用亦由乙方承担，乙方需无条件履行。</w:t>
      </w:r>
    </w:p>
    <w:p w14:paraId="26E3C40A">
      <w:pPr>
        <w:widowControl/>
        <w:spacing w:line="400" w:lineRule="exact"/>
        <w:ind w:firstLine="565" w:firstLineChars="202"/>
        <w:jc w:val="left"/>
        <w:rPr>
          <w:rFonts w:ascii="仿宋_GB2312" w:eastAsia="仿宋_GB2312"/>
          <w:sz w:val="28"/>
          <w:szCs w:val="28"/>
        </w:rPr>
      </w:pPr>
      <w:r>
        <w:rPr>
          <w:rFonts w:hint="eastAsia" w:ascii="仿宋_GB2312" w:eastAsia="仿宋_GB2312"/>
          <w:sz w:val="28"/>
          <w:szCs w:val="28"/>
        </w:rPr>
        <w:t>（二）乙方的权利和义务</w:t>
      </w:r>
    </w:p>
    <w:p w14:paraId="19AB45B6">
      <w:pPr>
        <w:widowControl/>
        <w:spacing w:line="400" w:lineRule="exact"/>
        <w:ind w:firstLine="565" w:firstLineChars="202"/>
        <w:jc w:val="left"/>
        <w:rPr>
          <w:rFonts w:ascii="仿宋_GB2312" w:eastAsia="仿宋_GB2312"/>
          <w:sz w:val="28"/>
          <w:szCs w:val="28"/>
        </w:rPr>
      </w:pPr>
      <w:r>
        <w:rPr>
          <w:rFonts w:hint="eastAsia" w:ascii="仿宋_GB2312" w:eastAsia="仿宋_GB2312"/>
          <w:sz w:val="28"/>
          <w:szCs w:val="28"/>
        </w:rPr>
        <w:t>1.配合甲方办理相关租赁备案手续。</w:t>
      </w:r>
    </w:p>
    <w:p w14:paraId="418157D5">
      <w:pPr>
        <w:widowControl/>
        <w:spacing w:line="400" w:lineRule="exact"/>
        <w:ind w:firstLine="565" w:firstLineChars="202"/>
        <w:jc w:val="left"/>
        <w:rPr>
          <w:rFonts w:ascii="仿宋_GB2312" w:eastAsia="仿宋_GB2312"/>
          <w:sz w:val="28"/>
          <w:szCs w:val="28"/>
        </w:rPr>
      </w:pPr>
      <w:r>
        <w:rPr>
          <w:rFonts w:hint="eastAsia" w:ascii="仿宋_GB2312" w:eastAsia="仿宋_GB2312"/>
          <w:sz w:val="28"/>
          <w:szCs w:val="28"/>
        </w:rPr>
        <w:t>2.在接收租赁物业、场地及其附属设施前，保证详细知悉和了解物业、场地及其附属设施现状，如发现有问题的，必须立即与甲方沟通协调。</w:t>
      </w:r>
    </w:p>
    <w:p w14:paraId="504B4353">
      <w:pPr>
        <w:widowControl/>
        <w:spacing w:line="400" w:lineRule="exact"/>
        <w:ind w:firstLine="565" w:firstLineChars="202"/>
        <w:jc w:val="left"/>
        <w:rPr>
          <w:rFonts w:ascii="仿宋_GB2312" w:eastAsia="仿宋_GB2312"/>
          <w:sz w:val="28"/>
          <w:szCs w:val="28"/>
        </w:rPr>
      </w:pPr>
      <w:r>
        <w:rPr>
          <w:rFonts w:hint="eastAsia" w:ascii="仿宋_GB2312" w:eastAsia="仿宋_GB2312"/>
          <w:sz w:val="28"/>
          <w:szCs w:val="28"/>
        </w:rPr>
        <w:t>3.按照合同约定的用途和期限，享有租赁物业、场地及其附属设施的使用权，享有该物业及场地共有通道和公共设施的使用权。</w:t>
      </w:r>
    </w:p>
    <w:p w14:paraId="1159D851">
      <w:pPr>
        <w:widowControl/>
        <w:spacing w:line="400" w:lineRule="exact"/>
        <w:ind w:firstLine="565" w:firstLineChars="202"/>
        <w:jc w:val="left"/>
        <w:rPr>
          <w:rFonts w:ascii="仿宋_GB2312" w:eastAsia="仿宋_GB2312"/>
          <w:sz w:val="28"/>
          <w:szCs w:val="28"/>
        </w:rPr>
      </w:pPr>
      <w:r>
        <w:rPr>
          <w:rFonts w:hint="eastAsia" w:ascii="仿宋_GB2312" w:eastAsia="仿宋_GB2312"/>
          <w:sz w:val="28"/>
          <w:szCs w:val="28"/>
        </w:rPr>
        <w:t>4.妥善使用和维护租赁物业、场地及其附属设施，及时消除各种可能出现的故障和危险，避免一切可能发生的隐患。负责更换和维修损坏设施，并承担维修费用。</w:t>
      </w:r>
    </w:p>
    <w:p w14:paraId="351F36A7">
      <w:pPr>
        <w:widowControl/>
        <w:spacing w:line="400" w:lineRule="exact"/>
        <w:ind w:firstLine="565" w:firstLineChars="202"/>
        <w:jc w:val="left"/>
        <w:rPr>
          <w:rFonts w:ascii="仿宋_GB2312" w:eastAsia="仿宋_GB2312"/>
          <w:sz w:val="28"/>
          <w:szCs w:val="28"/>
        </w:rPr>
      </w:pPr>
      <w:r>
        <w:rPr>
          <w:rFonts w:hint="eastAsia" w:ascii="仿宋_GB2312" w:eastAsia="仿宋_GB2312"/>
          <w:sz w:val="28"/>
          <w:szCs w:val="28"/>
        </w:rPr>
        <w:t>5.不得改变租赁物业结构或增设构筑物，如确需对租赁物业进行装修或增加设施，需征得甲方书面同意并办理相关报建报批手续，且不得对物业结构构成影响，否则，视作乙方根本违约，甲方有权单方解除合同，无偿收回租赁物业、场地及其附属设施，没收合同履约保证金，已收取的合同租金不予退还，并追究乙方责任及由此造成甲方的经济损失。</w:t>
      </w:r>
    </w:p>
    <w:p w14:paraId="31AC2AA9">
      <w:pPr>
        <w:widowControl/>
        <w:spacing w:line="400" w:lineRule="exact"/>
        <w:ind w:firstLine="565" w:firstLineChars="202"/>
        <w:jc w:val="left"/>
        <w:rPr>
          <w:rFonts w:ascii="仿宋_GB2312" w:eastAsia="仿宋_GB2312"/>
          <w:sz w:val="28"/>
          <w:szCs w:val="28"/>
        </w:rPr>
      </w:pPr>
      <w:r>
        <w:rPr>
          <w:rFonts w:hint="eastAsia" w:ascii="仿宋_GB2312" w:eastAsia="仿宋_GB2312"/>
          <w:sz w:val="28"/>
          <w:szCs w:val="28"/>
        </w:rPr>
        <w:t>6.遵守国家、省、市及相关部门关于消防管理和物业租赁等有关法律、法规规定和本社村规民约。不得在租赁物业、场地及其附属设施内存放易燃易爆物品、私拉乱接用电，不得使用明火，不得在物业内存放两瓶以上的石油气（天然气），应配合有关部门做好物业租赁、物业安全、消防安全、治安及生产销售假冒伪劣商品等各时期查处整治工作。否则，视作乙方根本违约，甲方有权单方解除合同，无偿收回租赁物业、场地及其附属设施，没收合同履约保证金，已收取的合同租金不予退还，并追究乙方责任及由此造成甲方的经济损失。如因乙方违反相关规定而发生意外事故，一切法律责任和经济责任由乙方承担。</w:t>
      </w:r>
    </w:p>
    <w:p w14:paraId="58A990B8">
      <w:pPr>
        <w:widowControl/>
        <w:spacing w:line="400" w:lineRule="exact"/>
        <w:ind w:firstLine="565" w:firstLineChars="202"/>
        <w:jc w:val="left"/>
        <w:rPr>
          <w:rFonts w:ascii="仿宋_GB2312" w:eastAsia="仿宋_GB2312"/>
          <w:sz w:val="28"/>
          <w:szCs w:val="28"/>
        </w:rPr>
      </w:pPr>
      <w:r>
        <w:rPr>
          <w:rFonts w:hint="eastAsia" w:ascii="仿宋_GB2312" w:eastAsia="仿宋_GB2312"/>
          <w:sz w:val="28"/>
          <w:szCs w:val="28"/>
        </w:rPr>
        <w:t>7.不得擅自变更租赁物业、场地及其附属设施用途，如确需改变，必须征得甲方书面同意后方可变更。否则，视作乙方根本违约，甲方有权单方解除合同，无偿收回租赁物业、场地及其附属设施，没收合同履约保证金，已收取的合同租金不予退还，并追究乙方责任及由此造成甲方的经济损失。</w:t>
      </w:r>
    </w:p>
    <w:p w14:paraId="741A5B4D">
      <w:pPr>
        <w:widowControl/>
        <w:spacing w:line="400" w:lineRule="exact"/>
        <w:ind w:firstLine="565" w:firstLineChars="202"/>
        <w:jc w:val="left"/>
        <w:rPr>
          <w:rFonts w:ascii="仿宋_GB2312" w:eastAsia="仿宋_GB2312"/>
          <w:sz w:val="28"/>
          <w:szCs w:val="28"/>
        </w:rPr>
      </w:pPr>
      <w:r>
        <w:rPr>
          <w:rFonts w:hint="eastAsia" w:ascii="仿宋_GB2312" w:eastAsia="仿宋_GB2312"/>
          <w:sz w:val="28"/>
          <w:szCs w:val="28"/>
        </w:rPr>
        <w:t>8.未经甲方书面同意，不得擅自转租租赁物业、场地及其附属设施。否则，视作乙方根本违约，甲方有权单方解除合同，无偿收回租赁物业、场地及其附属设施，没收合同履约保证金，已收取的合同租金不予退还，并追究乙方责任及由此造成甲方的经济损失。</w:t>
      </w:r>
      <w:r>
        <w:rPr>
          <w:rFonts w:hint="eastAsia" w:ascii="仿宋_GB2312" w:eastAsia="仿宋_GB2312"/>
          <w:color w:val="auto"/>
          <w:sz w:val="28"/>
          <w:szCs w:val="28"/>
          <w:highlight w:val="none"/>
        </w:rPr>
        <w:t>租赁物业、场地</w:t>
      </w:r>
      <w:r>
        <w:rPr>
          <w:rFonts w:hint="eastAsia" w:ascii="仿宋_GB2312" w:eastAsia="仿宋_GB2312"/>
          <w:color w:val="auto"/>
          <w:sz w:val="28"/>
          <w:szCs w:val="28"/>
          <w:highlight w:val="none"/>
          <w:lang w:eastAsia="zh-CN"/>
        </w:rPr>
        <w:t>及其附属设施。</w:t>
      </w:r>
      <w:r>
        <w:rPr>
          <w:rFonts w:hint="eastAsia" w:ascii="仿宋_GB2312" w:eastAsia="仿宋_GB2312"/>
          <w:color w:val="auto"/>
          <w:sz w:val="28"/>
          <w:szCs w:val="28"/>
          <w:highlight w:val="none"/>
          <w:lang w:val="en-US" w:eastAsia="zh-CN"/>
        </w:rPr>
        <w:t>转租、分租给他人经营使用并进行水电费代收代缴的，水电费收缴应严格按照政府价格主管部门及供水、供电企业公布的现行有效收费标准执行。</w:t>
      </w:r>
    </w:p>
    <w:p w14:paraId="1FCB275C">
      <w:pPr>
        <w:widowControl/>
        <w:spacing w:line="400" w:lineRule="exact"/>
        <w:ind w:firstLine="565" w:firstLineChars="202"/>
        <w:jc w:val="left"/>
        <w:rPr>
          <w:rFonts w:ascii="仿宋_GB2312" w:eastAsia="仿宋_GB2312"/>
          <w:sz w:val="28"/>
          <w:szCs w:val="28"/>
        </w:rPr>
      </w:pPr>
      <w:r>
        <w:rPr>
          <w:rFonts w:hint="eastAsia" w:ascii="仿宋_GB2312" w:eastAsia="仿宋_GB2312"/>
          <w:sz w:val="28"/>
          <w:szCs w:val="28"/>
        </w:rPr>
        <w:t>9.自行负责并按时缴交水电、服务、税务、卫生等规费。</w:t>
      </w:r>
    </w:p>
    <w:p w14:paraId="6C766A73">
      <w:pPr>
        <w:widowControl/>
        <w:spacing w:line="400" w:lineRule="exact"/>
        <w:ind w:firstLine="565" w:firstLineChars="202"/>
        <w:jc w:val="left"/>
        <w:rPr>
          <w:rFonts w:ascii="仿宋_GB2312" w:eastAsia="仿宋_GB2312"/>
          <w:sz w:val="28"/>
          <w:szCs w:val="28"/>
        </w:rPr>
      </w:pPr>
      <w:r>
        <w:rPr>
          <w:rFonts w:hint="eastAsia" w:ascii="仿宋_GB2312" w:eastAsia="仿宋_GB2312"/>
          <w:sz w:val="28"/>
          <w:szCs w:val="28"/>
        </w:rPr>
        <w:t>10.不得利用租赁物业、场地及其附属设施存放危险物品或从事违法犯罪活动，不得容留违法犯罪及违反法律法规的人员居住。否则，视作乙方根本违约，甲方有权单方解除合同，无偿收回租赁物业、场地及其附属设施，没收合同履约保证金，已收取的合同租金不予退还，并追究乙方责任及由此造成甲方的经济损失。</w:t>
      </w:r>
    </w:p>
    <w:p w14:paraId="6CBC1CB2">
      <w:pPr>
        <w:widowControl/>
        <w:spacing w:line="400" w:lineRule="exact"/>
        <w:ind w:firstLine="565" w:firstLineChars="202"/>
        <w:jc w:val="left"/>
        <w:rPr>
          <w:rFonts w:ascii="仿宋_GB2312" w:eastAsia="仿宋_GB2312"/>
          <w:sz w:val="28"/>
          <w:szCs w:val="28"/>
        </w:rPr>
      </w:pPr>
      <w:r>
        <w:rPr>
          <w:rFonts w:hint="eastAsia" w:ascii="仿宋_GB2312" w:eastAsia="仿宋_GB2312"/>
          <w:sz w:val="28"/>
          <w:szCs w:val="28"/>
        </w:rPr>
        <w:t>11.自觉搞好租赁物业、场地及其附属设施的进出通道卫生，在规定堆放处放置垃圾，不得占用公共道路堆放物品、器材，不得堵塞下水道，如因乙方造成损坏的，由乙方负责赔偿。</w:t>
      </w:r>
    </w:p>
    <w:p w14:paraId="39849DBF">
      <w:pPr>
        <w:widowControl/>
        <w:spacing w:line="400" w:lineRule="exact"/>
        <w:ind w:firstLine="568" w:firstLineChars="202"/>
        <w:jc w:val="left"/>
        <w:rPr>
          <w:rFonts w:ascii="仿宋_GB2312" w:eastAsia="仿宋_GB2312"/>
          <w:sz w:val="28"/>
          <w:szCs w:val="28"/>
        </w:rPr>
      </w:pPr>
      <w:r>
        <w:rPr>
          <w:rFonts w:hint="eastAsia" w:ascii="仿宋_GB2312" w:eastAsia="仿宋_GB2312"/>
          <w:b/>
          <w:bCs/>
          <w:sz w:val="28"/>
          <w:szCs w:val="28"/>
        </w:rPr>
        <w:t xml:space="preserve"> 第六条</w:t>
      </w:r>
      <w:r>
        <w:rPr>
          <w:rFonts w:hint="eastAsia" w:ascii="仿宋_GB2312" w:eastAsia="仿宋_GB2312"/>
          <w:sz w:val="28"/>
          <w:szCs w:val="28"/>
        </w:rPr>
        <w:t xml:space="preserve">  </w:t>
      </w:r>
      <w:r>
        <w:rPr>
          <w:rFonts w:hint="eastAsia" w:ascii="仿宋_GB2312" w:eastAsia="仿宋_GB2312"/>
          <w:b/>
          <w:bCs/>
          <w:sz w:val="28"/>
          <w:szCs w:val="28"/>
        </w:rPr>
        <w:t>转租</w:t>
      </w:r>
    </w:p>
    <w:p w14:paraId="44D31788">
      <w:pPr>
        <w:widowControl/>
        <w:spacing w:line="400" w:lineRule="exact"/>
        <w:ind w:firstLine="565" w:firstLineChars="202"/>
        <w:jc w:val="left"/>
        <w:rPr>
          <w:rFonts w:ascii="仿宋_GB2312" w:eastAsia="仿宋_GB2312"/>
          <w:sz w:val="28"/>
          <w:szCs w:val="28"/>
        </w:rPr>
      </w:pPr>
      <w:r>
        <w:rPr>
          <w:rFonts w:hint="eastAsia" w:ascii="仿宋_GB2312" w:eastAsia="仿宋_GB2312"/>
          <w:sz w:val="28"/>
          <w:szCs w:val="28"/>
        </w:rPr>
        <w:t>（一）合同期内，乙方不得转租租赁物业、场地及其附属设施。如确需转租的，须经甲方书面同意并签订转租补充合同，否则，视作乙方根本违约，甲方有权单方解除合同，无偿收回租赁物业、场地及其附属设施，没收合同履约保证金，已收取的合同租金不予退还，并追究乙方责任及由此造成甲方的经济损失。</w:t>
      </w:r>
    </w:p>
    <w:p w14:paraId="30C49297">
      <w:pPr>
        <w:widowControl/>
        <w:spacing w:line="400" w:lineRule="exact"/>
        <w:ind w:firstLine="565" w:firstLineChars="202"/>
        <w:jc w:val="left"/>
        <w:rPr>
          <w:rFonts w:ascii="仿宋_GB2312" w:eastAsia="仿宋_GB2312"/>
          <w:sz w:val="28"/>
          <w:szCs w:val="28"/>
        </w:rPr>
      </w:pPr>
      <w:r>
        <w:rPr>
          <w:rFonts w:hint="eastAsia" w:ascii="仿宋_GB2312" w:eastAsia="仿宋_GB2312"/>
          <w:sz w:val="28"/>
          <w:szCs w:val="28"/>
        </w:rPr>
        <w:t>（二）如乙方经甲方同意进行转租的，乙方必须遵守下列条款：</w:t>
      </w:r>
    </w:p>
    <w:p w14:paraId="1E3D529D">
      <w:pPr>
        <w:widowControl/>
        <w:spacing w:line="400" w:lineRule="exact"/>
        <w:ind w:firstLine="565" w:firstLineChars="202"/>
        <w:jc w:val="left"/>
        <w:rPr>
          <w:rFonts w:ascii="仿宋_GB2312" w:eastAsia="仿宋_GB2312"/>
          <w:sz w:val="28"/>
          <w:szCs w:val="28"/>
        </w:rPr>
      </w:pPr>
      <w:r>
        <w:rPr>
          <w:rFonts w:hint="eastAsia" w:ascii="仿宋_GB2312" w:eastAsia="仿宋_GB2312"/>
          <w:sz w:val="28"/>
          <w:szCs w:val="28"/>
        </w:rPr>
        <w:t>1.本合同规定的甲乙双方的责任和权利不因转租而改变。</w:t>
      </w:r>
    </w:p>
    <w:p w14:paraId="44F21B99">
      <w:pPr>
        <w:widowControl/>
        <w:spacing w:line="400" w:lineRule="exact"/>
        <w:ind w:firstLine="565" w:firstLineChars="202"/>
        <w:jc w:val="left"/>
        <w:rPr>
          <w:rFonts w:ascii="仿宋_GB2312" w:eastAsia="仿宋_GB2312"/>
          <w:sz w:val="28"/>
          <w:szCs w:val="28"/>
        </w:rPr>
      </w:pPr>
      <w:r>
        <w:rPr>
          <w:rFonts w:hint="eastAsia" w:ascii="仿宋_GB2312" w:eastAsia="仿宋_GB2312"/>
          <w:sz w:val="28"/>
          <w:szCs w:val="28"/>
        </w:rPr>
        <w:t>2.负责转租期间的管理工作（包括向转租户收取租金等）。</w:t>
      </w:r>
    </w:p>
    <w:p w14:paraId="0E0DE93A">
      <w:pPr>
        <w:widowControl/>
        <w:spacing w:line="400" w:lineRule="exact"/>
        <w:ind w:firstLine="565" w:firstLineChars="202"/>
        <w:jc w:val="left"/>
        <w:rPr>
          <w:rFonts w:ascii="仿宋_GB2312" w:eastAsia="仿宋_GB2312"/>
          <w:sz w:val="28"/>
          <w:szCs w:val="28"/>
        </w:rPr>
      </w:pPr>
      <w:r>
        <w:rPr>
          <w:rFonts w:hint="eastAsia" w:ascii="仿宋_GB2312" w:eastAsia="仿宋_GB2312"/>
          <w:sz w:val="28"/>
          <w:szCs w:val="28"/>
        </w:rPr>
        <w:t>3.转租期限不得超过本合同规定的承租期限；</w:t>
      </w:r>
    </w:p>
    <w:p w14:paraId="094320E8">
      <w:pPr>
        <w:widowControl/>
        <w:spacing w:line="400" w:lineRule="exact"/>
        <w:ind w:firstLine="565" w:firstLineChars="202"/>
        <w:jc w:val="left"/>
        <w:rPr>
          <w:rFonts w:ascii="仿宋_GB2312" w:eastAsia="仿宋_GB2312"/>
          <w:sz w:val="28"/>
          <w:szCs w:val="28"/>
        </w:rPr>
      </w:pPr>
      <w:r>
        <w:rPr>
          <w:rFonts w:hint="eastAsia" w:ascii="仿宋_GB2312" w:eastAsia="仿宋_GB2312"/>
          <w:sz w:val="28"/>
          <w:szCs w:val="28"/>
        </w:rPr>
        <w:t>4.转租的用途不得超出本合同规定的用途；</w:t>
      </w:r>
    </w:p>
    <w:p w14:paraId="7091E024">
      <w:pPr>
        <w:widowControl/>
        <w:spacing w:line="400" w:lineRule="exact"/>
        <w:ind w:firstLine="565" w:firstLineChars="202"/>
        <w:jc w:val="left"/>
        <w:rPr>
          <w:rFonts w:ascii="仿宋_GB2312" w:eastAsia="仿宋_GB2312"/>
          <w:sz w:val="28"/>
          <w:szCs w:val="28"/>
        </w:rPr>
      </w:pPr>
      <w:r>
        <w:rPr>
          <w:rFonts w:hint="eastAsia" w:ascii="仿宋_GB2312" w:eastAsia="仿宋_GB2312"/>
          <w:sz w:val="28"/>
          <w:szCs w:val="28"/>
        </w:rPr>
        <w:t>5.转租合同应列明“乙方与甲方的租赁合同终止，乙方与转租户的转租合同同时终止”。</w:t>
      </w:r>
    </w:p>
    <w:p w14:paraId="58D79C03">
      <w:pPr>
        <w:widowControl/>
        <w:spacing w:line="400" w:lineRule="exact"/>
        <w:ind w:firstLine="565" w:firstLineChars="202"/>
        <w:jc w:val="left"/>
        <w:rPr>
          <w:rFonts w:ascii="仿宋_GB2312" w:eastAsia="仿宋_GB2312"/>
          <w:sz w:val="28"/>
          <w:szCs w:val="28"/>
        </w:rPr>
      </w:pPr>
      <w:r>
        <w:rPr>
          <w:rFonts w:hint="eastAsia" w:ascii="仿宋_GB2312" w:eastAsia="仿宋_GB2312"/>
          <w:sz w:val="28"/>
          <w:szCs w:val="28"/>
        </w:rPr>
        <w:t>6.要求转租户签署保证书，保证其同意履行乙方与甲方合同中有关转租行为的规定，并承诺与乙方就本合同的履行对甲方承担连带责任。在终止本合同时，转租合同同时终止，转租户无条件迁离租赁物业及场地。乙方应将转租户签署的保证书原件，在转租合同签订后的1日内交甲方存档。</w:t>
      </w:r>
    </w:p>
    <w:p w14:paraId="03A3F1BF">
      <w:pPr>
        <w:widowControl/>
        <w:spacing w:line="400" w:lineRule="exact"/>
        <w:ind w:firstLine="565" w:firstLineChars="202"/>
        <w:jc w:val="left"/>
        <w:rPr>
          <w:rFonts w:ascii="仿宋_GB2312" w:eastAsia="仿宋_GB2312"/>
          <w:sz w:val="28"/>
          <w:szCs w:val="28"/>
        </w:rPr>
      </w:pPr>
      <w:r>
        <w:rPr>
          <w:rFonts w:hint="eastAsia" w:ascii="仿宋_GB2312" w:eastAsia="仿宋_GB2312"/>
          <w:sz w:val="28"/>
          <w:szCs w:val="28"/>
        </w:rPr>
        <w:t>7.负责因转租行为产生的一切纠纷及所造成的经济损失。</w:t>
      </w:r>
    </w:p>
    <w:p w14:paraId="65191CC4">
      <w:pPr>
        <w:widowControl/>
        <w:spacing w:line="400" w:lineRule="exact"/>
        <w:ind w:firstLine="565" w:firstLineChars="202"/>
        <w:jc w:val="left"/>
        <w:rPr>
          <w:rFonts w:ascii="仿宋_GB2312" w:eastAsia="仿宋_GB2312"/>
          <w:sz w:val="28"/>
          <w:szCs w:val="28"/>
        </w:rPr>
      </w:pPr>
      <w:r>
        <w:rPr>
          <w:rFonts w:hint="eastAsia" w:ascii="仿宋_GB2312" w:eastAsia="仿宋_GB2312"/>
          <w:sz w:val="28"/>
          <w:szCs w:val="28"/>
        </w:rPr>
        <w:t>8.负责因转租而产生的税、费。</w:t>
      </w:r>
    </w:p>
    <w:p w14:paraId="6259B723">
      <w:pPr>
        <w:widowControl/>
        <w:spacing w:line="400" w:lineRule="exact"/>
        <w:ind w:firstLine="568" w:firstLineChars="202"/>
        <w:jc w:val="left"/>
        <w:rPr>
          <w:rFonts w:ascii="仿宋_GB2312" w:eastAsia="仿宋_GB2312"/>
          <w:bCs/>
          <w:sz w:val="28"/>
          <w:szCs w:val="28"/>
        </w:rPr>
      </w:pPr>
      <w:r>
        <w:rPr>
          <w:rFonts w:hint="eastAsia" w:ascii="仿宋_GB2312" w:eastAsia="仿宋_GB2312"/>
          <w:b/>
          <w:sz w:val="28"/>
          <w:szCs w:val="28"/>
        </w:rPr>
        <w:t xml:space="preserve">第七条  </w:t>
      </w:r>
      <w:r>
        <w:rPr>
          <w:rFonts w:hint="eastAsia" w:ascii="仿宋_GB2312" w:eastAsia="仿宋_GB2312"/>
          <w:bCs/>
          <w:sz w:val="28"/>
          <w:szCs w:val="28"/>
        </w:rPr>
        <w:t>合同期满前第十三个月，甲乙双方应对合同期满（或终止）时无偿归甲方所有的物业、场地及其附属设施（包括但不限于增设建（构）筑物及报装的各类附属设施）（如有）进行确认；合同期满，本合同自然终止，甲乙双方对所有物业、场地及其附属设施现状进行再次确认，甲方无偿收回所有物业、场地及其附属设施。</w:t>
      </w:r>
    </w:p>
    <w:p w14:paraId="263632C4">
      <w:pPr>
        <w:widowControl/>
        <w:spacing w:line="400" w:lineRule="exact"/>
        <w:ind w:firstLine="565" w:firstLineChars="202"/>
        <w:jc w:val="left"/>
        <w:rPr>
          <w:rFonts w:ascii="仿宋_GB2312" w:eastAsia="仿宋_GB2312"/>
          <w:sz w:val="28"/>
          <w:szCs w:val="28"/>
        </w:rPr>
      </w:pPr>
      <w:r>
        <w:rPr>
          <w:rFonts w:hint="eastAsia" w:ascii="仿宋_GB2312" w:eastAsia="仿宋_GB2312"/>
          <w:bCs/>
          <w:sz w:val="28"/>
          <w:szCs w:val="28"/>
        </w:rPr>
        <w:t>乙方如意向续租，须在合同期满前1年内向甲方提交意向续租申请书；重新参与竞投的，在同等条件下，乙方享有优先权。</w:t>
      </w:r>
    </w:p>
    <w:p w14:paraId="1118B8CB">
      <w:pPr>
        <w:widowControl/>
        <w:spacing w:line="400" w:lineRule="exact"/>
        <w:ind w:firstLine="568" w:firstLineChars="202"/>
        <w:jc w:val="left"/>
        <w:rPr>
          <w:rFonts w:ascii="仿宋_GB2312" w:eastAsia="仿宋_GB2312"/>
          <w:b/>
          <w:bCs/>
          <w:sz w:val="28"/>
          <w:szCs w:val="28"/>
        </w:rPr>
      </w:pPr>
      <w:r>
        <w:rPr>
          <w:rFonts w:hint="eastAsia" w:ascii="仿宋_GB2312" w:eastAsia="仿宋_GB2312"/>
          <w:b/>
          <w:bCs/>
          <w:sz w:val="28"/>
          <w:szCs w:val="28"/>
        </w:rPr>
        <w:t>第八条  合同的变更、解除和终止</w:t>
      </w:r>
    </w:p>
    <w:p w14:paraId="3A28CBC5">
      <w:pPr>
        <w:widowControl/>
        <w:spacing w:line="400" w:lineRule="exact"/>
        <w:ind w:firstLine="565" w:firstLineChars="202"/>
        <w:jc w:val="left"/>
        <w:rPr>
          <w:rFonts w:ascii="仿宋_GB2312" w:eastAsia="仿宋_GB2312"/>
          <w:sz w:val="28"/>
          <w:szCs w:val="28"/>
        </w:rPr>
      </w:pPr>
      <w:r>
        <w:rPr>
          <w:rFonts w:hint="eastAsia" w:ascii="仿宋_GB2312" w:eastAsia="仿宋_GB2312"/>
          <w:sz w:val="28"/>
          <w:szCs w:val="28"/>
        </w:rPr>
        <w:t>（一）本合同效力不受甲乙双方法人代表变动影响，也不因经济社的分立或合并而变更或解除。</w:t>
      </w:r>
    </w:p>
    <w:p w14:paraId="3A1F317F">
      <w:pPr>
        <w:widowControl/>
        <w:spacing w:line="400" w:lineRule="exact"/>
        <w:ind w:firstLine="565" w:firstLineChars="202"/>
        <w:jc w:val="left"/>
        <w:rPr>
          <w:rFonts w:ascii="仿宋_GB2312" w:eastAsia="仿宋_GB2312"/>
          <w:sz w:val="28"/>
          <w:szCs w:val="28"/>
        </w:rPr>
      </w:pPr>
      <w:r>
        <w:rPr>
          <w:rFonts w:hint="eastAsia" w:ascii="仿宋_GB2312" w:eastAsia="仿宋_GB2312"/>
          <w:sz w:val="28"/>
          <w:szCs w:val="28"/>
        </w:rPr>
        <w:t>（二）任何一方不得随意解除合同，因不可抗力而不能履行合同除外。</w:t>
      </w:r>
    </w:p>
    <w:p w14:paraId="23D3F1A5">
      <w:pPr>
        <w:widowControl/>
        <w:spacing w:line="400" w:lineRule="exact"/>
        <w:ind w:firstLine="565" w:firstLineChars="202"/>
        <w:jc w:val="left"/>
        <w:rPr>
          <w:rFonts w:ascii="仿宋_GB2312" w:eastAsia="仿宋_GB2312"/>
          <w:sz w:val="28"/>
          <w:szCs w:val="28"/>
        </w:rPr>
      </w:pPr>
      <w:r>
        <w:rPr>
          <w:rFonts w:hint="eastAsia" w:ascii="仿宋_GB2312" w:eastAsia="仿宋_GB2312"/>
          <w:sz w:val="28"/>
          <w:szCs w:val="28"/>
        </w:rPr>
        <w:t>（三）合同期内，乙方有下列行为之一的，视作乙方根本违约，甲方有权单方解除合同，无偿收回租赁物业、场地及其附属设施（包括但不限于增设建（构）筑物及报装的各类附属设施），没收合同履约保证金，已收取的合同租金不予退还，并追究乙方责任及追究由此造成甲方的经济损失：</w:t>
      </w:r>
    </w:p>
    <w:p w14:paraId="72B6417D">
      <w:pPr>
        <w:widowControl/>
        <w:spacing w:line="400" w:lineRule="exact"/>
        <w:ind w:firstLine="565" w:firstLineChars="202"/>
        <w:jc w:val="left"/>
        <w:rPr>
          <w:rFonts w:ascii="仿宋_GB2312" w:eastAsia="仿宋_GB2312"/>
          <w:sz w:val="28"/>
          <w:szCs w:val="28"/>
        </w:rPr>
      </w:pPr>
      <w:r>
        <w:rPr>
          <w:rFonts w:hint="eastAsia" w:ascii="仿宋_GB2312" w:eastAsia="仿宋_GB2312"/>
          <w:sz w:val="28"/>
          <w:szCs w:val="28"/>
        </w:rPr>
        <w:t>1.未经甲方书面同意转租或分租所承租物业、场地及其附属设施的；</w:t>
      </w:r>
    </w:p>
    <w:p w14:paraId="239E006B">
      <w:pPr>
        <w:widowControl/>
        <w:spacing w:line="400" w:lineRule="exact"/>
        <w:ind w:firstLine="565" w:firstLineChars="202"/>
        <w:jc w:val="left"/>
        <w:rPr>
          <w:rFonts w:ascii="仿宋_GB2312" w:eastAsia="仿宋_GB2312"/>
          <w:sz w:val="28"/>
          <w:szCs w:val="28"/>
        </w:rPr>
      </w:pPr>
      <w:r>
        <w:rPr>
          <w:rFonts w:hint="eastAsia" w:ascii="仿宋_GB2312" w:eastAsia="仿宋_GB2312"/>
          <w:sz w:val="28"/>
          <w:szCs w:val="28"/>
        </w:rPr>
        <w:t>2.未经甲方书面同意擅自改变承租物业、场地及其附属设施用途的；</w:t>
      </w:r>
    </w:p>
    <w:p w14:paraId="68488F62">
      <w:pPr>
        <w:widowControl/>
        <w:spacing w:line="400" w:lineRule="exact"/>
        <w:ind w:firstLine="565" w:firstLineChars="202"/>
        <w:jc w:val="left"/>
        <w:rPr>
          <w:rFonts w:ascii="仿宋_GB2312" w:eastAsia="仿宋_GB2312"/>
          <w:sz w:val="28"/>
          <w:szCs w:val="28"/>
        </w:rPr>
      </w:pPr>
      <w:r>
        <w:rPr>
          <w:rFonts w:hint="eastAsia" w:ascii="仿宋_GB2312" w:eastAsia="仿宋_GB2312"/>
          <w:sz w:val="28"/>
          <w:szCs w:val="28"/>
        </w:rPr>
        <w:t>3.未经甲方书面同意擅自拆改、变动承租物业或其附属设施的；</w:t>
      </w:r>
    </w:p>
    <w:p w14:paraId="198EEB2D">
      <w:pPr>
        <w:widowControl/>
        <w:spacing w:line="400" w:lineRule="exact"/>
        <w:ind w:firstLine="565" w:firstLineChars="202"/>
        <w:jc w:val="left"/>
        <w:rPr>
          <w:rFonts w:ascii="仿宋_GB2312" w:eastAsia="仿宋_GB2312"/>
          <w:sz w:val="28"/>
          <w:szCs w:val="28"/>
        </w:rPr>
      </w:pPr>
      <w:r>
        <w:rPr>
          <w:rFonts w:hint="eastAsia" w:ascii="仿宋_GB2312" w:eastAsia="仿宋_GB2312"/>
          <w:sz w:val="28"/>
          <w:szCs w:val="28"/>
        </w:rPr>
        <w:t>4.破坏承租物业、场地或其附属设施，在甲方提出的合理期限内仍未修复的；</w:t>
      </w:r>
    </w:p>
    <w:p w14:paraId="1A5D3EC0">
      <w:pPr>
        <w:widowControl/>
        <w:spacing w:line="400" w:lineRule="exact"/>
        <w:ind w:firstLine="565" w:firstLineChars="202"/>
        <w:jc w:val="left"/>
        <w:rPr>
          <w:rFonts w:ascii="仿宋_GB2312" w:eastAsia="仿宋_GB2312"/>
          <w:sz w:val="28"/>
          <w:szCs w:val="28"/>
        </w:rPr>
      </w:pPr>
      <w:r>
        <w:rPr>
          <w:rFonts w:hint="eastAsia" w:ascii="仿宋_GB2312" w:eastAsia="仿宋_GB2312"/>
          <w:sz w:val="28"/>
          <w:szCs w:val="28"/>
        </w:rPr>
        <w:t>5.未经甲方书面同意及相关行政主管部门审批，擅自在承租物业、场地及其附属设施上增建建筑物、构筑物或增加固定式设施的；</w:t>
      </w:r>
    </w:p>
    <w:p w14:paraId="327D1254">
      <w:pPr>
        <w:widowControl/>
        <w:spacing w:line="400" w:lineRule="exact"/>
        <w:ind w:firstLine="565" w:firstLineChars="202"/>
        <w:jc w:val="left"/>
        <w:rPr>
          <w:rFonts w:ascii="仿宋_GB2312" w:eastAsia="仿宋_GB2312"/>
          <w:sz w:val="28"/>
          <w:szCs w:val="28"/>
        </w:rPr>
      </w:pPr>
      <w:r>
        <w:rPr>
          <w:rFonts w:hint="eastAsia" w:ascii="仿宋_GB2312" w:eastAsia="仿宋_GB2312"/>
          <w:sz w:val="28"/>
          <w:szCs w:val="28"/>
        </w:rPr>
        <w:t>6.利用承租物业、场地及其附属设施存放危险物品或从事违法犯罪活动的。</w:t>
      </w:r>
    </w:p>
    <w:p w14:paraId="638286A6">
      <w:pPr>
        <w:widowControl/>
        <w:spacing w:line="400" w:lineRule="exact"/>
        <w:ind w:firstLine="565" w:firstLineChars="202"/>
        <w:jc w:val="left"/>
        <w:rPr>
          <w:rFonts w:ascii="仿宋_GB2312" w:eastAsia="仿宋_GB2312"/>
          <w:sz w:val="28"/>
          <w:szCs w:val="28"/>
        </w:rPr>
      </w:pPr>
      <w:r>
        <w:rPr>
          <w:rFonts w:hint="eastAsia" w:ascii="仿宋_GB2312" w:eastAsia="仿宋_GB2312"/>
          <w:sz w:val="28"/>
          <w:szCs w:val="28"/>
        </w:rPr>
        <w:t>7.逾期未交纳按约定应当由乙方交纳的各项费用，给甲方造成损失的；</w:t>
      </w:r>
    </w:p>
    <w:p w14:paraId="119F2ABA">
      <w:pPr>
        <w:widowControl/>
        <w:spacing w:line="400" w:lineRule="exact"/>
        <w:ind w:firstLine="565" w:firstLineChars="202"/>
        <w:jc w:val="left"/>
        <w:rPr>
          <w:rFonts w:ascii="仿宋_GB2312" w:eastAsia="仿宋_GB2312"/>
          <w:sz w:val="28"/>
          <w:szCs w:val="28"/>
        </w:rPr>
      </w:pPr>
      <w:r>
        <w:rPr>
          <w:rFonts w:hint="eastAsia" w:ascii="仿宋_GB2312" w:eastAsia="仿宋_GB2312"/>
          <w:sz w:val="28"/>
          <w:szCs w:val="28"/>
        </w:rPr>
        <w:t>8.拖欠</w:t>
      </w:r>
      <w:bookmarkStart w:id="21" w:name="BZJMSTJ_1"/>
      <w:r>
        <w:rPr>
          <w:rFonts w:hint="eastAsia" w:ascii="仿宋_GB2312" w:eastAsia="仿宋_GB2312"/>
          <w:sz w:val="28"/>
          <w:szCs w:val="28"/>
        </w:rPr>
        <w:t>合同租金</w:t>
      </w:r>
      <w:r>
        <w:rPr>
          <w:rFonts w:hint="eastAsia" w:ascii="仿宋_GB2312" w:eastAsia="仿宋_GB2312"/>
          <w:sz w:val="28"/>
          <w:szCs w:val="28"/>
          <w:u w:val="single"/>
        </w:rPr>
        <w:t>30</w:t>
      </w:r>
      <w:bookmarkEnd w:id="21"/>
      <w:r>
        <w:rPr>
          <w:rFonts w:hint="eastAsia" w:ascii="仿宋_GB2312" w:eastAsia="仿宋_GB2312"/>
          <w:sz w:val="28"/>
          <w:szCs w:val="28"/>
        </w:rPr>
        <w:t>天以上（含本数）。</w:t>
      </w:r>
    </w:p>
    <w:p w14:paraId="1C9F092F">
      <w:pPr>
        <w:widowControl/>
        <w:spacing w:line="400" w:lineRule="exact"/>
        <w:ind w:firstLine="565" w:firstLineChars="202"/>
        <w:jc w:val="left"/>
        <w:rPr>
          <w:rFonts w:ascii="仿宋_GB2312" w:eastAsia="仿宋_GB2312"/>
          <w:sz w:val="28"/>
          <w:szCs w:val="28"/>
        </w:rPr>
      </w:pPr>
      <w:r>
        <w:rPr>
          <w:rFonts w:hint="eastAsia" w:ascii="仿宋_GB2312" w:eastAsia="仿宋_GB2312"/>
          <w:sz w:val="28"/>
          <w:szCs w:val="28"/>
        </w:rPr>
        <w:t>（四）合同期内，如遇国家征收、征用该物业及场地的，征地补偿款、建筑物、场地及设施补偿费属甲方所有，其他补偿费按本合同第十一条相关规定执行。乙方应缴合同租金计付至实际交还该物业及场地之日。</w:t>
      </w:r>
    </w:p>
    <w:p w14:paraId="70D9CC69">
      <w:pPr>
        <w:widowControl/>
        <w:spacing w:line="400" w:lineRule="exact"/>
        <w:ind w:firstLine="565" w:firstLineChars="202"/>
        <w:jc w:val="left"/>
        <w:rPr>
          <w:rFonts w:ascii="仿宋_GB2312" w:eastAsia="仿宋_GB2312"/>
          <w:sz w:val="28"/>
          <w:szCs w:val="28"/>
        </w:rPr>
      </w:pPr>
      <w:r>
        <w:rPr>
          <w:rFonts w:hint="eastAsia" w:ascii="仿宋_GB2312" w:eastAsia="仿宋_GB2312"/>
          <w:sz w:val="28"/>
          <w:szCs w:val="28"/>
        </w:rPr>
        <w:t>甲方应提前一个月通知乙方，本合同自动终止，甲乙双方互不承担违约责任。乙方必须无条件服从，并按甲方指定时限搬迁。乙方逾期搬迁的，物业及场地内属于乙方的设施、物品视为乙方自愿放弃，甲方有权自行处置，相关清理费用由乙方承担，并按当期双倍合同月租金标准支付占用费。</w:t>
      </w:r>
    </w:p>
    <w:p w14:paraId="2FA4EA28">
      <w:pPr>
        <w:widowControl/>
        <w:spacing w:line="400" w:lineRule="exact"/>
        <w:ind w:firstLine="560" w:firstLineChars="200"/>
        <w:jc w:val="left"/>
        <w:rPr>
          <w:rFonts w:ascii="仿宋_GB2312" w:eastAsia="仿宋_GB2312"/>
          <w:sz w:val="28"/>
          <w:szCs w:val="28"/>
        </w:rPr>
      </w:pPr>
      <w:r>
        <w:rPr>
          <w:rFonts w:hint="eastAsia" w:ascii="仿宋_GB2312" w:eastAsia="仿宋_GB2312"/>
          <w:sz w:val="28"/>
          <w:szCs w:val="28"/>
        </w:rPr>
        <w:t>（五）合同期内，如因法律规定的不可抗力致使本合同难以履行时，本合同可以变更或解除，双方互不承担违约责任。遭受不可抗力事件的一方应自行在条件允许下采取一切合理措施以减少这一事件造成的损失。</w:t>
      </w:r>
    </w:p>
    <w:p w14:paraId="7D37F332">
      <w:pPr>
        <w:widowControl/>
        <w:spacing w:line="400" w:lineRule="exact"/>
        <w:ind w:firstLine="568" w:firstLineChars="202"/>
        <w:jc w:val="left"/>
        <w:rPr>
          <w:rFonts w:ascii="仿宋_GB2312" w:eastAsia="仿宋_GB2312"/>
          <w:b/>
          <w:sz w:val="28"/>
          <w:szCs w:val="28"/>
        </w:rPr>
      </w:pPr>
      <w:r>
        <w:rPr>
          <w:rFonts w:hint="eastAsia" w:ascii="仿宋_GB2312" w:eastAsia="仿宋_GB2312"/>
          <w:b/>
          <w:sz w:val="28"/>
          <w:szCs w:val="28"/>
        </w:rPr>
        <w:t>第九条  补充协议规定</w:t>
      </w:r>
    </w:p>
    <w:p w14:paraId="3B79C0D7">
      <w:pPr>
        <w:widowControl/>
        <w:spacing w:line="400" w:lineRule="exact"/>
        <w:ind w:firstLine="565" w:firstLineChars="202"/>
        <w:jc w:val="left"/>
        <w:rPr>
          <w:rFonts w:ascii="仿宋_GB2312" w:eastAsia="仿宋_GB2312"/>
          <w:b/>
          <w:bCs/>
          <w:sz w:val="28"/>
          <w:szCs w:val="28"/>
        </w:rPr>
      </w:pPr>
      <w:r>
        <w:rPr>
          <w:rFonts w:hint="eastAsia" w:ascii="仿宋_GB2312" w:eastAsia="仿宋_GB2312"/>
          <w:sz w:val="28"/>
          <w:szCs w:val="28"/>
        </w:rPr>
        <w:t>本合同未尽事宜，经甲乙双方协商一致可签订补充协议。但必须按照天河区农村集体资产交易管理相关规定进行民主表决并公示后才能生效。补充协议与本合同具有同等法律效力。</w:t>
      </w:r>
    </w:p>
    <w:p w14:paraId="1E5EA409">
      <w:pPr>
        <w:widowControl/>
        <w:spacing w:line="400" w:lineRule="exact"/>
        <w:ind w:firstLine="562" w:firstLineChars="200"/>
        <w:jc w:val="left"/>
        <w:rPr>
          <w:rFonts w:ascii="仿宋_GB2312" w:eastAsia="仿宋_GB2312"/>
          <w:sz w:val="28"/>
          <w:szCs w:val="28"/>
        </w:rPr>
      </w:pPr>
      <w:r>
        <w:rPr>
          <w:rFonts w:hint="eastAsia" w:ascii="仿宋_GB2312" w:eastAsia="仿宋_GB2312"/>
          <w:b/>
          <w:bCs/>
          <w:sz w:val="28"/>
          <w:szCs w:val="28"/>
        </w:rPr>
        <w:t>第十条</w:t>
      </w:r>
      <w:r>
        <w:rPr>
          <w:rFonts w:hint="eastAsia" w:ascii="仿宋_GB2312" w:eastAsia="仿宋_GB2312"/>
          <w:sz w:val="28"/>
          <w:szCs w:val="28"/>
        </w:rPr>
        <w:t xml:space="preserve"> 本合同履行过程中如发生纠纷，可依法向广州市天河区人民法院提起诉讼。</w:t>
      </w:r>
    </w:p>
    <w:p w14:paraId="0230756C">
      <w:pPr>
        <w:widowControl/>
        <w:numPr>
          <w:ilvl w:val="0"/>
          <w:numId w:val="7"/>
        </w:numPr>
        <w:spacing w:line="400" w:lineRule="exact"/>
        <w:ind w:firstLine="560" w:firstLineChars="200"/>
        <w:jc w:val="left"/>
        <w:rPr>
          <w:rFonts w:ascii="仿宋_GB2312" w:eastAsia="仿宋_GB2312"/>
          <w:sz w:val="28"/>
          <w:szCs w:val="28"/>
        </w:rPr>
      </w:pPr>
      <w:r>
        <w:rPr>
          <w:rFonts w:hint="eastAsia" w:ascii="仿宋_GB2312" w:eastAsia="仿宋_GB2312"/>
          <w:sz w:val="28"/>
          <w:szCs w:val="28"/>
        </w:rPr>
        <w:t>守约方因追究违约方的违约责任所支付的一切费用（包括但不限于律师费，诉讼费，交通费，差旅费，食宿费，行政、司法、鉴定、公证、翻译费、调查费，评估费等）均由违约方承担。</w:t>
      </w:r>
    </w:p>
    <w:p w14:paraId="4447C19A">
      <w:pPr>
        <w:widowControl/>
        <w:numPr>
          <w:ilvl w:val="0"/>
          <w:numId w:val="7"/>
        </w:numPr>
        <w:spacing w:line="400" w:lineRule="exact"/>
        <w:ind w:firstLine="560" w:firstLineChars="200"/>
        <w:jc w:val="left"/>
        <w:rPr>
          <w:rFonts w:ascii="仿宋_GB2312" w:eastAsia="仿宋_GB2312"/>
          <w:sz w:val="28"/>
          <w:szCs w:val="28"/>
        </w:rPr>
      </w:pPr>
      <w:r>
        <w:rPr>
          <w:rFonts w:hint="eastAsia" w:ascii="仿宋_GB2312" w:eastAsia="仿宋_GB2312"/>
          <w:sz w:val="28"/>
          <w:szCs w:val="28"/>
        </w:rPr>
        <w:t>甲方未能或延迟行使本合同项下的任何权利的不意味放弃该权利。甲方任何权利的放弃均以甲方盖章的书面文件明确表示为准。</w:t>
      </w:r>
    </w:p>
    <w:p w14:paraId="3C0116B7">
      <w:pPr>
        <w:widowControl/>
        <w:shd w:val="clear" w:color="auto" w:fill="FFFFFF"/>
        <w:spacing w:line="400" w:lineRule="exact"/>
        <w:ind w:firstLine="562" w:firstLineChars="200"/>
        <w:rPr>
          <w:rFonts w:ascii="仿宋" w:hAnsi="仿宋" w:eastAsia="仿宋" w:cs="仿宋"/>
          <w:color w:val="auto"/>
          <w:kern w:val="0"/>
          <w:sz w:val="28"/>
          <w:szCs w:val="28"/>
          <w:u w:val="single"/>
        </w:rPr>
      </w:pPr>
      <w:r>
        <w:rPr>
          <w:rFonts w:hint="eastAsia" w:ascii="仿宋" w:hAnsi="仿宋" w:eastAsia="仿宋" w:cs="仿宋"/>
          <w:b/>
          <w:color w:val="auto"/>
          <w:kern w:val="0"/>
          <w:sz w:val="28"/>
          <w:szCs w:val="28"/>
        </w:rPr>
        <w:t>第十一条  其他约定</w:t>
      </w:r>
      <w:r>
        <w:rPr>
          <w:rFonts w:hint="eastAsia" w:ascii="仿宋" w:hAnsi="仿宋" w:eastAsia="仿宋" w:cs="仿宋"/>
          <w:b/>
          <w:bCs/>
          <w:color w:val="auto"/>
          <w:kern w:val="0"/>
          <w:sz w:val="28"/>
          <w:szCs w:val="28"/>
        </w:rPr>
        <w:t>事项：</w:t>
      </w:r>
    </w:p>
    <w:p w14:paraId="03CF84C2">
      <w:pPr>
        <w:widowControl/>
        <w:spacing w:line="400" w:lineRule="exact"/>
        <w:ind w:firstLine="565" w:firstLineChars="202"/>
        <w:jc w:val="left"/>
        <w:rPr>
          <w:rFonts w:ascii="仿宋_GB2312" w:eastAsia="仿宋_GB2312"/>
          <w:sz w:val="28"/>
          <w:szCs w:val="28"/>
          <w:u w:val="single"/>
        </w:rPr>
      </w:pPr>
      <w:r>
        <w:rPr>
          <w:rFonts w:hint="eastAsia" w:ascii="仿宋_GB2312" w:eastAsia="仿宋_GB2312"/>
          <w:color w:val="auto"/>
          <w:sz w:val="28"/>
          <w:szCs w:val="28"/>
          <w:u w:val="single"/>
        </w:rPr>
        <w:t>1、该租赁物业及场地计租面积为</w:t>
      </w:r>
      <w:r>
        <w:rPr>
          <w:rFonts w:hint="eastAsia" w:ascii="仿宋_GB2312" w:eastAsia="仿宋_GB2312"/>
          <w:color w:val="auto"/>
          <w:sz w:val="28"/>
          <w:szCs w:val="28"/>
          <w:u w:val="single"/>
          <w:lang w:val="en-US" w:eastAsia="zh-CN"/>
        </w:rPr>
        <w:t>22489.10</w:t>
      </w:r>
      <w:r>
        <w:rPr>
          <w:rFonts w:hint="eastAsia" w:ascii="仿宋" w:hAnsi="仿宋" w:eastAsia="仿宋" w:cs="仿宋"/>
          <w:color w:val="auto"/>
          <w:sz w:val="28"/>
          <w:szCs w:val="28"/>
          <w:u w:val="single"/>
        </w:rPr>
        <w:t>平方米（其中：物业建筑面积：</w:t>
      </w:r>
      <w:r>
        <w:rPr>
          <w:rFonts w:hint="eastAsia" w:ascii="仿宋" w:hAnsi="仿宋" w:eastAsia="仿宋" w:cs="仿宋"/>
          <w:color w:val="auto"/>
          <w:sz w:val="28"/>
          <w:szCs w:val="28"/>
          <w:u w:val="single"/>
          <w:lang w:val="en-US" w:eastAsia="zh-CN"/>
        </w:rPr>
        <w:t>17373.82</w:t>
      </w:r>
      <w:r>
        <w:rPr>
          <w:rFonts w:hint="eastAsia" w:ascii="仿宋" w:hAnsi="仿宋" w:eastAsia="仿宋" w:cs="仿宋"/>
          <w:color w:val="auto"/>
          <w:sz w:val="28"/>
          <w:szCs w:val="28"/>
          <w:u w:val="single"/>
        </w:rPr>
        <w:t>平方米，场地面积：</w:t>
      </w:r>
      <w:r>
        <w:rPr>
          <w:rFonts w:hint="eastAsia" w:ascii="仿宋" w:hAnsi="仿宋" w:eastAsia="仿宋" w:cs="仿宋"/>
          <w:color w:val="auto"/>
          <w:sz w:val="28"/>
          <w:szCs w:val="28"/>
          <w:u w:val="single"/>
          <w:lang w:val="en-US" w:eastAsia="zh-CN"/>
        </w:rPr>
        <w:t>5115.28</w:t>
      </w:r>
      <w:r>
        <w:rPr>
          <w:rFonts w:hint="eastAsia" w:ascii="仿宋" w:hAnsi="仿宋" w:eastAsia="仿宋" w:cs="仿宋"/>
          <w:color w:val="auto"/>
          <w:sz w:val="28"/>
          <w:szCs w:val="28"/>
          <w:u w:val="single"/>
        </w:rPr>
        <w:t>平方米）</w:t>
      </w:r>
      <w:r>
        <w:rPr>
          <w:rFonts w:hint="eastAsia" w:ascii="仿宋_GB2312" w:eastAsia="仿宋_GB2312"/>
          <w:color w:val="auto"/>
          <w:sz w:val="28"/>
          <w:szCs w:val="28"/>
          <w:u w:val="single"/>
        </w:rPr>
        <w:t>，任何与面积相关的费用</w:t>
      </w:r>
      <w:r>
        <w:rPr>
          <w:rFonts w:hint="eastAsia" w:ascii="仿宋_GB2312" w:eastAsia="仿宋_GB2312"/>
          <w:sz w:val="28"/>
          <w:szCs w:val="28"/>
          <w:u w:val="single"/>
        </w:rPr>
        <w:t>计算均应以此面积为准。如租赁合同约定之面积与实际交付面积存在误差的，则出租方不予退还合同租金，承租方也不用多缴误差之合同租金数额。承租方不得以此为由解除合同，否则视作承租方严重违约，出租方有权没收合同履约保证金。</w:t>
      </w:r>
    </w:p>
    <w:p w14:paraId="12DAABC8">
      <w:pPr>
        <w:widowControl/>
        <w:spacing w:line="400" w:lineRule="exact"/>
        <w:ind w:firstLine="565" w:firstLineChars="202"/>
        <w:jc w:val="left"/>
        <w:rPr>
          <w:rFonts w:hint="eastAsia" w:ascii="仿宋_GB2312" w:hAnsi="Times New Roman" w:eastAsia="仿宋_GB2312" w:cs="Times New Roman"/>
          <w:color w:val="auto"/>
          <w:sz w:val="28"/>
          <w:szCs w:val="28"/>
          <w:u w:val="single"/>
          <w:lang w:eastAsia="zh-CN"/>
        </w:rPr>
      </w:pPr>
      <w:r>
        <w:rPr>
          <w:rFonts w:hint="eastAsia" w:ascii="仿宋_GB2312" w:hAnsi="Times New Roman" w:eastAsia="仿宋_GB2312" w:cs="Times New Roman"/>
          <w:color w:val="auto"/>
          <w:sz w:val="28"/>
          <w:szCs w:val="28"/>
          <w:u w:val="single"/>
        </w:rPr>
        <w:t>2、</w:t>
      </w:r>
      <w:r>
        <w:rPr>
          <w:rFonts w:hint="eastAsia" w:ascii="仿宋_GB2312" w:hAnsi="Times New Roman" w:eastAsia="仿宋_GB2312" w:cs="Times New Roman"/>
          <w:color w:val="auto"/>
          <w:sz w:val="28"/>
          <w:szCs w:val="28"/>
          <w:u w:val="single"/>
          <w:lang w:eastAsia="zh-CN"/>
        </w:rPr>
        <w:t>出租方提供容量为1000kVA 的变压器一台及配套配电房，其余电力设备的铺设工作由承租方负责完成，由此产生的一切费用均由承租方自行承担。出租方提供给水表总表，原水管等设备可能存在老化等问题，若需重新铺设管道，相关工作由承租方负责，产生的一切费用亦由承租方自行承担。在合同到期或终止时，所有新铺设的水、电设备的所有权归出租方所有，承租方不得擅自拆除或破坏。 水、电费用由承租方直接向供水、供电部门等相关部门缴纳。</w:t>
      </w:r>
    </w:p>
    <w:p w14:paraId="6AE85668">
      <w:pPr>
        <w:widowControl/>
        <w:spacing w:line="400" w:lineRule="exact"/>
        <w:ind w:firstLine="565" w:firstLineChars="202"/>
        <w:jc w:val="left"/>
        <w:rPr>
          <w:rFonts w:ascii="仿宋_GB2312" w:eastAsia="仿宋_GB2312"/>
          <w:sz w:val="28"/>
          <w:szCs w:val="28"/>
          <w:u w:val="single"/>
        </w:rPr>
      </w:pPr>
      <w:r>
        <w:rPr>
          <w:rFonts w:hint="eastAsia" w:ascii="仿宋_GB2312" w:eastAsia="仿宋_GB2312"/>
          <w:sz w:val="28"/>
          <w:szCs w:val="28"/>
          <w:u w:val="single"/>
          <w:lang w:val="en-US" w:eastAsia="zh-CN"/>
        </w:rPr>
        <w:t>3、</w:t>
      </w:r>
      <w:r>
        <w:rPr>
          <w:rFonts w:hint="eastAsia" w:ascii="仿宋_GB2312" w:eastAsia="仿宋_GB2312"/>
          <w:sz w:val="28"/>
          <w:szCs w:val="28"/>
          <w:u w:val="single"/>
        </w:rPr>
        <w:t>租赁物业及场地用作商业用途，出租方按物业主体建筑结构及场地现状交付使用；承租方不得以非主体建筑结构竞投前和接收状况不同为由单方解除合同或拖欠合同租金等行为，否则视为承租方严重违约，出租方有权追究承租方的违约责任。</w:t>
      </w:r>
    </w:p>
    <w:p w14:paraId="2D9C14E7">
      <w:pPr>
        <w:widowControl/>
        <w:spacing w:line="400" w:lineRule="exact"/>
        <w:ind w:firstLine="565" w:firstLineChars="202"/>
        <w:jc w:val="left"/>
        <w:rPr>
          <w:rFonts w:ascii="仿宋_GB2312" w:eastAsia="仿宋_GB2312"/>
          <w:sz w:val="28"/>
          <w:szCs w:val="28"/>
          <w:u w:val="single"/>
        </w:rPr>
      </w:pPr>
      <w:r>
        <w:rPr>
          <w:rFonts w:hint="eastAsia" w:ascii="仿宋_GB2312" w:eastAsia="仿宋_GB2312"/>
          <w:sz w:val="28"/>
          <w:szCs w:val="28"/>
          <w:u w:val="single"/>
        </w:rPr>
        <w:t>承租方不得改变租赁物业、场地及其附属设施用途、性质和主体建筑结构、不得乱搭建、私自兴建、扩建、加建建筑物等；不得经营易燃易爆、噪音污染、“散、乱、污”等项目；擅自改变用途和性质的，引起的违法行为、人身安全、财产损失等刑事、行政处罚和经济损失均由承租方自行承担；造成出租方权益受损的，出租方有权单方解除合同，没收合同履约保证金，已收取的合同租金不予退还，并无偿收回租赁物业及场地（包括但不限于合法合规增设建（构）筑物及报装的各类附属设施）（如有），作承租方违约处理，并依法追讨因此造成出租方的经济损失。</w:t>
      </w:r>
    </w:p>
    <w:p w14:paraId="3FA0E9FE">
      <w:pPr>
        <w:widowControl/>
        <w:spacing w:line="400" w:lineRule="exact"/>
        <w:ind w:firstLine="560" w:firstLineChars="200"/>
        <w:rPr>
          <w:rFonts w:hint="eastAsia" w:ascii="仿宋_GB2312" w:eastAsia="仿宋_GB2312"/>
          <w:color w:val="auto"/>
          <w:sz w:val="28"/>
          <w:szCs w:val="28"/>
          <w:u w:val="single"/>
        </w:rPr>
      </w:pPr>
      <w:r>
        <w:rPr>
          <w:rFonts w:hint="eastAsia" w:ascii="仿宋_GB2312" w:eastAsia="仿宋_GB2312"/>
          <w:sz w:val="28"/>
          <w:szCs w:val="28"/>
          <w:u w:val="single"/>
        </w:rPr>
        <w:t>4、</w:t>
      </w:r>
      <w:r>
        <w:rPr>
          <w:rFonts w:hint="eastAsia" w:ascii="仿宋_GB2312" w:eastAsia="仿宋_GB2312"/>
          <w:color w:val="auto"/>
          <w:sz w:val="28"/>
          <w:szCs w:val="28"/>
          <w:u w:val="single"/>
        </w:rPr>
        <w:t>如遇执法部门进行检查、整改、处罚、停产、拆除违建等执法行为，因承租方经营行为引起的责任由承租方自行承担，并承担由此产生的一切后果，承租方必须继续履行签订合同的一切条款；若承租方的经营行为被行政执法部门查处后，未能按规定改正或其行为涉嫌犯罪（被刑事立案）的，则视为承租方严重违约，出租方有权立即单方解除合同，没收合同履约保证金，已收取的合同租金不予退还，并无偿收回租赁物业及场地（包括已搭建、兴建、加建建筑物等）（如有），若造成出租方损失的，承租方应承担赔偿责任；</w:t>
      </w:r>
    </w:p>
    <w:p w14:paraId="0CDCFAFB">
      <w:pPr>
        <w:widowControl/>
        <w:spacing w:line="400" w:lineRule="exact"/>
        <w:ind w:firstLine="560" w:firstLineChars="200"/>
        <w:rPr>
          <w:rFonts w:hint="eastAsia" w:ascii="仿宋_GB2312" w:eastAsia="仿宋_GB2312"/>
          <w:color w:val="auto"/>
          <w:sz w:val="28"/>
          <w:szCs w:val="28"/>
          <w:u w:val="single"/>
        </w:rPr>
      </w:pPr>
      <w:r>
        <w:rPr>
          <w:rFonts w:hint="eastAsia" w:ascii="仿宋_GB2312" w:eastAsia="仿宋_GB2312"/>
          <w:color w:val="auto"/>
          <w:sz w:val="28"/>
          <w:szCs w:val="28"/>
          <w:u w:val="single"/>
        </w:rPr>
        <w:t>如遇政府行为需要全部或部分拆除，或者其它原因不允许出租经营的，造成双方无法继续履行合同的，承租方应当在有关部门要求拆除的期限前搬迁完毕，合同自行终止，双方损失自负，互不作赔偿和补偿，均不作违约处理。</w:t>
      </w:r>
    </w:p>
    <w:p w14:paraId="338CB05B">
      <w:pPr>
        <w:widowControl/>
        <w:spacing w:line="400" w:lineRule="exact"/>
        <w:ind w:firstLine="560" w:firstLineChars="200"/>
        <w:rPr>
          <w:rFonts w:hint="eastAsia" w:ascii="仿宋_GB2312" w:eastAsia="仿宋_GB2312"/>
          <w:color w:val="auto"/>
          <w:sz w:val="28"/>
          <w:szCs w:val="28"/>
          <w:u w:val="single"/>
        </w:rPr>
      </w:pPr>
      <w:r>
        <w:rPr>
          <w:rFonts w:hint="eastAsia" w:ascii="仿宋_GB2312" w:eastAsia="仿宋_GB2312"/>
          <w:color w:val="auto"/>
          <w:sz w:val="28"/>
          <w:szCs w:val="28"/>
          <w:u w:val="single"/>
          <w:lang w:val="en-US" w:eastAsia="zh-CN"/>
        </w:rPr>
        <w:t>5</w:t>
      </w:r>
      <w:r>
        <w:rPr>
          <w:rFonts w:hint="eastAsia" w:ascii="仿宋_GB2312" w:eastAsia="仿宋_GB2312"/>
          <w:color w:val="auto"/>
          <w:sz w:val="28"/>
          <w:szCs w:val="28"/>
          <w:u w:val="single"/>
        </w:rPr>
        <w:t>、该租赁物业及场地</w:t>
      </w:r>
      <w:r>
        <w:rPr>
          <w:rFonts w:hint="eastAsia" w:ascii="仿宋_GB2312" w:eastAsia="仿宋_GB2312"/>
          <w:color w:val="auto"/>
          <w:sz w:val="28"/>
          <w:szCs w:val="28"/>
          <w:u w:val="single"/>
          <w:lang w:eastAsia="zh-CN"/>
        </w:rPr>
        <w:t>已被（意向）纳入城中城改造片区，</w:t>
      </w:r>
      <w:r>
        <w:rPr>
          <w:rFonts w:hint="eastAsia" w:ascii="仿宋_GB2312" w:eastAsia="仿宋_GB2312"/>
          <w:color w:val="auto"/>
          <w:sz w:val="28"/>
          <w:szCs w:val="28"/>
          <w:u w:val="single"/>
        </w:rPr>
        <w:t>如遇政府收储或城中村改造需要征收、征用、提前收回租赁物业及场地（包括但不限于物业及地上原有或加建的全部建筑物、果树、林木等）时，承租方应在接到出租方书面通知的一个月内无条件配合出租方办理一切征收、征用手续，无偿交还租赁物业及场地（包括但不限于物业及地上原有或加建的全部建筑物等）给出租方；承租方缴清合同租金（计付至实际交还所有物业及场地之日）后，出租方全额无息退还合同履约保证金给承租方；租赁合同自然终止，双方损失自负，</w:t>
      </w:r>
      <w:r>
        <w:rPr>
          <w:rFonts w:hint="eastAsia" w:ascii="仿宋_GB2312" w:eastAsia="仿宋_GB2312"/>
          <w:color w:val="auto"/>
          <w:sz w:val="28"/>
          <w:szCs w:val="28"/>
          <w:u w:val="single"/>
          <w:lang w:val="en-US" w:eastAsia="zh-CN"/>
        </w:rPr>
        <w:t>互不追究法律责任，</w:t>
      </w:r>
      <w:r>
        <w:rPr>
          <w:rFonts w:hint="eastAsia" w:ascii="仿宋_GB2312" w:eastAsia="仿宋_GB2312"/>
          <w:color w:val="auto"/>
          <w:sz w:val="28"/>
          <w:szCs w:val="28"/>
          <w:u w:val="single"/>
        </w:rPr>
        <w:t>均不作违约处理。</w:t>
      </w:r>
    </w:p>
    <w:p w14:paraId="02B10426">
      <w:pPr>
        <w:widowControl/>
        <w:spacing w:line="400" w:lineRule="exact"/>
        <w:ind w:firstLine="560" w:firstLineChars="200"/>
        <w:rPr>
          <w:rFonts w:hint="eastAsia" w:ascii="仿宋_GB2312" w:eastAsia="仿宋_GB2312"/>
          <w:color w:val="auto"/>
          <w:sz w:val="28"/>
          <w:szCs w:val="28"/>
          <w:u w:val="single"/>
          <w:lang w:eastAsia="zh-CN"/>
        </w:rPr>
      </w:pPr>
      <w:r>
        <w:rPr>
          <w:rFonts w:hint="eastAsia" w:ascii="仿宋_GB2312" w:eastAsia="仿宋_GB2312"/>
          <w:color w:val="auto"/>
          <w:sz w:val="28"/>
          <w:szCs w:val="28"/>
          <w:u w:val="single"/>
        </w:rPr>
        <w:t>有关补偿问题，由出租方与征地单位协商，如有补偿，经出租方主管部门按规定提留后，所得的补偿（包括但不限于征地款、土地补偿费、安置补助金、地上原有或加建建筑物及设施补偿费、青苗补偿费等）全部归出租方所有，出租方不对承租方（包括但不限于生产经营、人员遣散、加建建筑物、果树、林木等）的损失作任何补偿和赔偿；如有复建面积补偿的，其补偿归出租方所有</w:t>
      </w:r>
      <w:r>
        <w:rPr>
          <w:rFonts w:hint="eastAsia" w:ascii="仿宋_GB2312" w:eastAsia="仿宋_GB2312"/>
          <w:color w:val="auto"/>
          <w:sz w:val="28"/>
          <w:szCs w:val="28"/>
          <w:u w:val="single"/>
          <w:lang w:eastAsia="zh-CN"/>
        </w:rPr>
        <w:t>。</w:t>
      </w:r>
      <w:r>
        <w:rPr>
          <w:rFonts w:hint="eastAsia" w:ascii="仿宋_GB2312" w:eastAsia="仿宋_GB2312"/>
          <w:color w:val="auto"/>
          <w:sz w:val="28"/>
          <w:szCs w:val="28"/>
          <w:u w:val="single"/>
        </w:rPr>
        <w:t>出租方不计利息退还提前收取但未使用的合同租金给承租方</w:t>
      </w:r>
      <w:r>
        <w:rPr>
          <w:rFonts w:hint="eastAsia" w:ascii="仿宋_GB2312" w:eastAsia="仿宋_GB2312"/>
          <w:color w:val="auto"/>
          <w:sz w:val="28"/>
          <w:szCs w:val="28"/>
          <w:u w:val="single"/>
          <w:lang w:eastAsia="zh-CN"/>
        </w:rPr>
        <w:t>。</w:t>
      </w:r>
    </w:p>
    <w:p w14:paraId="4FF1BE7B">
      <w:pPr>
        <w:widowControl/>
        <w:spacing w:line="400" w:lineRule="exact"/>
        <w:ind w:firstLine="560" w:firstLineChars="200"/>
        <w:rPr>
          <w:rFonts w:hint="eastAsia" w:ascii="仿宋_GB2312" w:eastAsia="仿宋_GB2312"/>
          <w:color w:val="auto"/>
          <w:sz w:val="28"/>
          <w:szCs w:val="28"/>
          <w:u w:val="single"/>
        </w:rPr>
      </w:pPr>
      <w:r>
        <w:rPr>
          <w:rFonts w:hint="eastAsia" w:ascii="仿宋_GB2312" w:eastAsia="仿宋_GB2312"/>
          <w:color w:val="auto"/>
          <w:sz w:val="28"/>
          <w:szCs w:val="28"/>
          <w:u w:val="single"/>
          <w:lang w:val="en-US" w:eastAsia="zh-CN"/>
        </w:rPr>
        <w:t>6</w:t>
      </w:r>
      <w:r>
        <w:rPr>
          <w:rFonts w:hint="eastAsia" w:ascii="仿宋_GB2312" w:eastAsia="仿宋_GB2312"/>
          <w:color w:val="auto"/>
          <w:sz w:val="28"/>
          <w:szCs w:val="28"/>
          <w:u w:val="single"/>
        </w:rPr>
        <w:t>、租赁物业中部分持有《集体土地房产证》、场地持有《集体土地所有证》，但未取得政府部门颁发的建设工程规划许可证和消防备案等证照，其用途也未取得相关政府部门的证照及未办理相关手续。承租人已于报名竞投和租赁前对交易物业、场地及其附属物的现状包括产权、证照手续、使用性质、诉讼风险等上述情况作充分了解，并同意按现状参与竞投和承租。出租方不保证租赁物业、场地及其附属物使用必定符合承租方的经营所需或全部交付使用。承租方自行办理本租赁物业及场地的工商证照、消防备案等手续及费用，如无法取得本租赁物业及场地之用途的相关营业证照、办理相关经营手续的责任和损失均由承租方自行承担，承租方不得以此为由拒签合同、单方解除合同或拖欠合同租金等行为，否则视为承租方严重违约，出租方有权按照合同条款追究承租方的违约责任。</w:t>
      </w:r>
    </w:p>
    <w:p w14:paraId="06DBBEB8">
      <w:pPr>
        <w:widowControl/>
        <w:spacing w:line="400" w:lineRule="exact"/>
        <w:ind w:firstLine="560" w:firstLineChars="200"/>
        <w:rPr>
          <w:rFonts w:hint="eastAsia" w:ascii="仿宋_GB2312" w:eastAsia="仿宋_GB2312"/>
          <w:color w:val="auto"/>
          <w:sz w:val="28"/>
          <w:szCs w:val="28"/>
          <w:u w:val="single"/>
        </w:rPr>
      </w:pPr>
      <w:r>
        <w:rPr>
          <w:rFonts w:hint="eastAsia" w:ascii="仿宋_GB2312" w:eastAsia="仿宋_GB2312"/>
          <w:color w:val="auto"/>
          <w:sz w:val="28"/>
          <w:szCs w:val="28"/>
          <w:u w:val="single"/>
          <w:lang w:val="en-US" w:eastAsia="zh-CN"/>
        </w:rPr>
        <w:t>7</w:t>
      </w:r>
      <w:r>
        <w:rPr>
          <w:rFonts w:hint="eastAsia" w:ascii="仿宋_GB2312" w:eastAsia="仿宋_GB2312"/>
          <w:color w:val="auto"/>
          <w:sz w:val="28"/>
          <w:szCs w:val="28"/>
          <w:u w:val="single"/>
        </w:rPr>
        <w:t>、如本租赁合同因产权问题、交付使用、经营用途或其它原因被认定全部或部分无效的，出租方仍有权要求承租方支付租赁物业及场地的全部占用费（占用费按本合同中有关合同租金的约定为计算标准）；合同期间如有违约行为，双方愿意按合同相关条款接受处罚。</w:t>
      </w:r>
    </w:p>
    <w:p w14:paraId="28E11605">
      <w:pPr>
        <w:widowControl/>
        <w:spacing w:line="400" w:lineRule="exact"/>
        <w:ind w:firstLine="560" w:firstLineChars="200"/>
        <w:rPr>
          <w:rFonts w:hint="eastAsia" w:ascii="仿宋_GB2312" w:eastAsia="仿宋_GB2312"/>
          <w:color w:val="auto"/>
          <w:sz w:val="28"/>
          <w:szCs w:val="28"/>
          <w:u w:val="single"/>
        </w:rPr>
      </w:pPr>
      <w:r>
        <w:rPr>
          <w:rFonts w:hint="eastAsia" w:ascii="仿宋_GB2312" w:eastAsia="仿宋_GB2312"/>
          <w:color w:val="auto"/>
          <w:sz w:val="28"/>
          <w:szCs w:val="28"/>
          <w:u w:val="single"/>
          <w:lang w:val="en-US" w:eastAsia="zh-CN"/>
        </w:rPr>
        <w:t>8</w:t>
      </w:r>
      <w:r>
        <w:rPr>
          <w:rFonts w:hint="eastAsia" w:ascii="仿宋_GB2312" w:eastAsia="仿宋_GB2312"/>
          <w:color w:val="auto"/>
          <w:sz w:val="28"/>
          <w:szCs w:val="28"/>
          <w:u w:val="single"/>
        </w:rPr>
        <w:t>、承租方的通信地址以签订的租赁合同上提供的地址为确认的、可寄达地址。如承租方变更地址或联系方式，须及时以书面并盖章或签名的方式告知出租方，否则视为未变更地址或联系方式；有关履行租赁合同相关事宜的通知、信函、文件、司法文书等，出租方有权按照上述确认地址或联系方式以快递或者挂号信等形式告知。如非因出租方原因导致邮件退回，则邮件退回之日则视为已送达承租方。</w:t>
      </w:r>
    </w:p>
    <w:p w14:paraId="71EC2370">
      <w:pPr>
        <w:widowControl/>
        <w:spacing w:line="400" w:lineRule="exact"/>
        <w:ind w:firstLine="560" w:firstLineChars="200"/>
        <w:rPr>
          <w:rFonts w:hint="eastAsia" w:ascii="仿宋_GB2312" w:eastAsia="仿宋_GB2312"/>
          <w:color w:val="auto"/>
          <w:sz w:val="28"/>
          <w:szCs w:val="28"/>
          <w:u w:val="single"/>
        </w:rPr>
      </w:pPr>
      <w:r>
        <w:rPr>
          <w:rFonts w:hint="eastAsia" w:ascii="仿宋_GB2312" w:eastAsia="仿宋_GB2312"/>
          <w:color w:val="auto"/>
          <w:sz w:val="28"/>
          <w:szCs w:val="28"/>
          <w:u w:val="single"/>
          <w:lang w:val="en-US" w:eastAsia="zh-CN"/>
        </w:rPr>
        <w:t>9</w:t>
      </w:r>
      <w:r>
        <w:rPr>
          <w:rFonts w:hint="eastAsia" w:ascii="仿宋_GB2312" w:eastAsia="仿宋_GB2312"/>
          <w:color w:val="auto"/>
          <w:sz w:val="28"/>
          <w:szCs w:val="28"/>
          <w:u w:val="single"/>
        </w:rPr>
        <w:t>、租赁期内，承租方为租赁物业及场地的消防及安全生产第一责任人，如发生人身伤亡和财产损失等消防或安全事故的，承租方需承担全部经济和法律责任。承租方必须做好消防及安全生产工作，并按相关职能部门的要求设置相应消防设备，不得有封锁或堆放杂物等堵塞消防通道的行为。出租方不承诺也不保证租赁物业及场地现有的消防设备（如有）能够满足承租方使用需求或符合相关职能部门规定，承租方必须自行办理相关消防及安全生产的证照，并承担因此产生一切费用。</w:t>
      </w:r>
    </w:p>
    <w:p w14:paraId="299E2505">
      <w:pPr>
        <w:widowControl/>
        <w:spacing w:line="400" w:lineRule="exact"/>
        <w:ind w:firstLine="560" w:firstLineChars="200"/>
        <w:rPr>
          <w:rFonts w:hint="eastAsia" w:ascii="仿宋_GB2312" w:eastAsia="仿宋_GB2312"/>
          <w:color w:val="auto"/>
          <w:sz w:val="28"/>
          <w:szCs w:val="28"/>
          <w:u w:val="single"/>
        </w:rPr>
      </w:pPr>
      <w:r>
        <w:rPr>
          <w:rFonts w:hint="eastAsia" w:ascii="仿宋_GB2312" w:eastAsia="仿宋_GB2312"/>
          <w:color w:val="auto"/>
          <w:sz w:val="28"/>
          <w:szCs w:val="28"/>
          <w:u w:val="single"/>
        </w:rPr>
        <w:t>1</w:t>
      </w:r>
      <w:r>
        <w:rPr>
          <w:rFonts w:hint="eastAsia" w:ascii="仿宋_GB2312" w:eastAsia="仿宋_GB2312"/>
          <w:color w:val="auto"/>
          <w:sz w:val="28"/>
          <w:szCs w:val="28"/>
          <w:u w:val="single"/>
          <w:lang w:val="en-US" w:eastAsia="zh-CN"/>
        </w:rPr>
        <w:t>0</w:t>
      </w:r>
      <w:r>
        <w:rPr>
          <w:rFonts w:hint="eastAsia" w:ascii="仿宋_GB2312" w:eastAsia="仿宋_GB2312"/>
          <w:color w:val="auto"/>
          <w:sz w:val="28"/>
          <w:szCs w:val="28"/>
          <w:u w:val="single"/>
        </w:rPr>
        <w:t>、租赁物业及场地权属广州市天河区前进街前进股份合作经济联社所有，权属单位基于自身经营管理需要，将由下属公司（广州市前进置业发展有限公司）对本项目进行签订合同、收取租金及开具发票等业务，承租方应无条件接受。</w:t>
      </w:r>
    </w:p>
    <w:p w14:paraId="5EF4FF1B">
      <w:pPr>
        <w:widowControl/>
        <w:spacing w:line="400" w:lineRule="exact"/>
        <w:ind w:firstLine="560" w:firstLineChars="200"/>
        <w:rPr>
          <w:rFonts w:hint="eastAsia" w:ascii="仿宋_GB2312" w:eastAsia="仿宋_GB2312"/>
          <w:color w:val="auto"/>
          <w:sz w:val="28"/>
          <w:szCs w:val="28"/>
          <w:u w:val="single"/>
          <w:lang w:val="en-US" w:eastAsia="zh-CN"/>
        </w:rPr>
      </w:pPr>
      <w:r>
        <w:rPr>
          <w:rFonts w:hint="eastAsia" w:ascii="仿宋_GB2312" w:eastAsia="仿宋_GB2312"/>
          <w:color w:val="auto"/>
          <w:sz w:val="28"/>
          <w:szCs w:val="28"/>
          <w:u w:val="single"/>
          <w:lang w:val="en-US" w:eastAsia="zh-CN"/>
        </w:rPr>
        <w:t>11、承租人需在签署合同后30个工作日内，缴纳产业落地保证金500万元。出租方在承租人完成招商引资产业落地企业总营收额高于25亿元后（含承租人企业营收，营收以以上各落地“四上”数字广告企业自然年度在“统计云工作台”报送统计的任意一期月报、季报、年报的“营业收入”指标为准），45个工作日内将产业落地保证金全额无息退还承租人。若承租人在合同期内未完成年度招商引资产业落地企业总营收额高于25亿元的目标，出租方将在合同到期后45个工作日内将产业落地保证金全额无息退还给承租人。</w:t>
      </w:r>
    </w:p>
    <w:p w14:paraId="65E6C4FE">
      <w:pPr>
        <w:widowControl/>
        <w:spacing w:line="400" w:lineRule="exact"/>
        <w:ind w:firstLine="562" w:firstLineChars="200"/>
        <w:rPr>
          <w:rFonts w:ascii="仿宋_GB2312" w:eastAsia="仿宋_GB2312"/>
          <w:sz w:val="28"/>
          <w:szCs w:val="28"/>
        </w:rPr>
      </w:pPr>
      <w:r>
        <w:rPr>
          <w:rFonts w:hint="eastAsia" w:ascii="仿宋" w:hAnsi="仿宋" w:eastAsia="仿宋" w:cs="仿宋"/>
          <w:b/>
          <w:sz w:val="28"/>
          <w:szCs w:val="28"/>
        </w:rPr>
        <w:t xml:space="preserve">第十二条  </w:t>
      </w:r>
      <w:r>
        <w:rPr>
          <w:rFonts w:hint="eastAsia" w:ascii="仿宋" w:hAnsi="仿宋" w:eastAsia="仿宋" w:cs="仿宋"/>
          <w:kern w:val="0"/>
          <w:sz w:val="28"/>
          <w:szCs w:val="28"/>
        </w:rPr>
        <w:t>本合同一式</w:t>
      </w:r>
      <w:r>
        <w:rPr>
          <w:rFonts w:hint="eastAsia" w:ascii="仿宋" w:hAnsi="仿宋" w:eastAsia="仿宋" w:cs="仿宋"/>
          <w:kern w:val="0"/>
          <w:sz w:val="28"/>
          <w:szCs w:val="28"/>
          <w:u w:val="single"/>
        </w:rPr>
        <w:t xml:space="preserve">  叁  </w:t>
      </w:r>
      <w:r>
        <w:rPr>
          <w:rFonts w:hint="eastAsia" w:ascii="仿宋" w:hAnsi="仿宋" w:eastAsia="仿宋" w:cs="仿宋"/>
          <w:kern w:val="0"/>
          <w:sz w:val="28"/>
          <w:szCs w:val="28"/>
        </w:rPr>
        <w:t xml:space="preserve">份，甲乙双方各执 </w:t>
      </w:r>
      <w:r>
        <w:rPr>
          <w:rFonts w:hint="eastAsia" w:ascii="仿宋" w:hAnsi="仿宋" w:eastAsia="仿宋" w:cs="仿宋"/>
          <w:kern w:val="0"/>
          <w:sz w:val="28"/>
          <w:szCs w:val="28"/>
          <w:u w:val="single"/>
        </w:rPr>
        <w:t xml:space="preserve"> 壹  </w:t>
      </w:r>
      <w:r>
        <w:rPr>
          <w:rFonts w:hint="eastAsia" w:ascii="仿宋" w:hAnsi="仿宋" w:eastAsia="仿宋" w:cs="仿宋"/>
          <w:kern w:val="0"/>
          <w:sz w:val="28"/>
          <w:szCs w:val="28"/>
        </w:rPr>
        <w:t>份，交易服务机构执</w:t>
      </w:r>
      <w:r>
        <w:rPr>
          <w:rFonts w:hint="eastAsia" w:ascii="仿宋" w:hAnsi="仿宋" w:eastAsia="仿宋" w:cs="仿宋"/>
          <w:kern w:val="0"/>
          <w:sz w:val="28"/>
          <w:szCs w:val="28"/>
          <w:u w:val="single"/>
        </w:rPr>
        <w:t xml:space="preserve"> 壹 </w:t>
      </w:r>
      <w:r>
        <w:rPr>
          <w:rFonts w:hint="eastAsia" w:ascii="仿宋" w:hAnsi="仿宋" w:eastAsia="仿宋" w:cs="仿宋"/>
          <w:kern w:val="0"/>
          <w:sz w:val="28"/>
          <w:szCs w:val="28"/>
        </w:rPr>
        <w:t>份，每份合同具同等法律效力。合同自双方签字盖章之日起生效。</w:t>
      </w:r>
    </w:p>
    <w:p w14:paraId="22B2F0DB">
      <w:pPr>
        <w:adjustRightInd w:val="0"/>
        <w:spacing w:line="360" w:lineRule="auto"/>
        <w:ind w:firstLine="560" w:firstLineChars="200"/>
        <w:jc w:val="left"/>
        <w:rPr>
          <w:rFonts w:ascii="仿宋" w:hAnsi="仿宋" w:eastAsia="仿宋" w:cs="仿宋"/>
          <w:sz w:val="28"/>
          <w:szCs w:val="28"/>
        </w:rPr>
      </w:pPr>
    </w:p>
    <w:p w14:paraId="0AB55014">
      <w:pPr>
        <w:rPr>
          <w:rFonts w:ascii="仿宋" w:hAnsi="仿宋" w:eastAsia="仿宋" w:cs="仿宋"/>
          <w:sz w:val="28"/>
          <w:szCs w:val="28"/>
        </w:rPr>
      </w:pPr>
      <w:r>
        <w:rPr>
          <w:rFonts w:hint="eastAsia" w:ascii="仿宋" w:hAnsi="仿宋" w:eastAsia="仿宋" w:cs="仿宋"/>
          <w:sz w:val="28"/>
          <w:szCs w:val="28"/>
        </w:rPr>
        <w:br w:type="page"/>
      </w:r>
    </w:p>
    <w:p w14:paraId="069F420A">
      <w:pPr>
        <w:adjustRightInd w:val="0"/>
        <w:spacing w:line="360" w:lineRule="auto"/>
        <w:jc w:val="left"/>
        <w:rPr>
          <w:rFonts w:ascii="仿宋" w:hAnsi="仿宋" w:eastAsia="仿宋" w:cs="仿宋"/>
          <w:sz w:val="28"/>
          <w:szCs w:val="28"/>
        </w:rPr>
      </w:pPr>
    </w:p>
    <w:tbl>
      <w:tblPr>
        <w:tblStyle w:val="53"/>
        <w:tblW w:w="0" w:type="auto"/>
        <w:jc w:val="center"/>
        <w:tblLayout w:type="fixed"/>
        <w:tblCellMar>
          <w:top w:w="0" w:type="dxa"/>
          <w:left w:w="108" w:type="dxa"/>
          <w:bottom w:w="0" w:type="dxa"/>
          <w:right w:w="108" w:type="dxa"/>
        </w:tblCellMar>
      </w:tblPr>
      <w:tblGrid>
        <w:gridCol w:w="4503"/>
        <w:gridCol w:w="4557"/>
      </w:tblGrid>
      <w:tr w14:paraId="067D243D">
        <w:tblPrEx>
          <w:tblCellMar>
            <w:top w:w="0" w:type="dxa"/>
            <w:left w:w="108" w:type="dxa"/>
            <w:bottom w:w="0" w:type="dxa"/>
            <w:right w:w="108" w:type="dxa"/>
          </w:tblCellMar>
        </w:tblPrEx>
        <w:trPr>
          <w:cantSplit/>
          <w:trHeight w:val="949" w:hRule="atLeast"/>
          <w:jc w:val="center"/>
        </w:trPr>
        <w:tc>
          <w:tcPr>
            <w:tcW w:w="9060" w:type="dxa"/>
            <w:gridSpan w:val="2"/>
            <w:tcBorders>
              <w:top w:val="single" w:color="000000" w:sz="4" w:space="0"/>
              <w:left w:val="single" w:color="000000" w:sz="4" w:space="0"/>
              <w:bottom w:val="single" w:color="000000" w:sz="4" w:space="0"/>
              <w:right w:val="single" w:color="000000" w:sz="4" w:space="0"/>
            </w:tcBorders>
            <w:vAlign w:val="center"/>
          </w:tcPr>
          <w:p w14:paraId="78EC2D7C">
            <w:pPr>
              <w:adjustRightInd w:val="0"/>
              <w:spacing w:line="400" w:lineRule="exact"/>
              <w:jc w:val="center"/>
              <w:rPr>
                <w:rFonts w:ascii="仿宋" w:hAnsi="仿宋" w:eastAsia="仿宋" w:cs="仿宋"/>
                <w:b/>
                <w:bCs/>
                <w:kern w:val="0"/>
                <w:sz w:val="24"/>
              </w:rPr>
            </w:pPr>
            <w:r>
              <w:rPr>
                <w:rFonts w:hint="eastAsia" w:ascii="仿宋" w:hAnsi="仿宋" w:eastAsia="仿宋" w:cs="仿宋"/>
                <w:b/>
                <w:bCs/>
                <w:kern w:val="0"/>
                <w:sz w:val="24"/>
              </w:rPr>
              <w:t>合同签署人</w:t>
            </w:r>
          </w:p>
        </w:tc>
      </w:tr>
      <w:tr w14:paraId="73FCC3D9">
        <w:tblPrEx>
          <w:tblCellMar>
            <w:top w:w="0" w:type="dxa"/>
            <w:left w:w="108" w:type="dxa"/>
            <w:bottom w:w="0" w:type="dxa"/>
            <w:right w:w="108" w:type="dxa"/>
          </w:tblCellMar>
        </w:tblPrEx>
        <w:trPr>
          <w:cantSplit/>
          <w:trHeight w:val="678" w:hRule="atLeast"/>
          <w:jc w:val="center"/>
        </w:trPr>
        <w:tc>
          <w:tcPr>
            <w:tcW w:w="4503" w:type="dxa"/>
            <w:tcBorders>
              <w:top w:val="single" w:color="000000" w:sz="4" w:space="0"/>
              <w:left w:val="single" w:color="000000" w:sz="4" w:space="0"/>
              <w:bottom w:val="single" w:color="000000" w:sz="4" w:space="0"/>
              <w:right w:val="single" w:color="000000" w:sz="4" w:space="0"/>
            </w:tcBorders>
            <w:vAlign w:val="center"/>
          </w:tcPr>
          <w:p w14:paraId="01940B57">
            <w:pPr>
              <w:widowControl/>
              <w:spacing w:line="400" w:lineRule="exact"/>
              <w:jc w:val="center"/>
              <w:rPr>
                <w:rFonts w:ascii="仿宋" w:hAnsi="仿宋" w:eastAsia="仿宋" w:cs="仿宋"/>
                <w:kern w:val="0"/>
                <w:sz w:val="24"/>
              </w:rPr>
            </w:pPr>
            <w:r>
              <w:rPr>
                <w:rFonts w:hint="eastAsia" w:ascii="仿宋" w:hAnsi="仿宋" w:eastAsia="仿宋" w:cs="仿宋"/>
                <w:kern w:val="0"/>
                <w:sz w:val="24"/>
              </w:rPr>
              <w:t>甲方</w:t>
            </w:r>
          </w:p>
        </w:tc>
        <w:tc>
          <w:tcPr>
            <w:tcW w:w="4557" w:type="dxa"/>
            <w:tcBorders>
              <w:top w:val="single" w:color="000000" w:sz="4" w:space="0"/>
              <w:left w:val="nil"/>
              <w:bottom w:val="single" w:color="000000" w:sz="4" w:space="0"/>
              <w:right w:val="single" w:color="000000" w:sz="4" w:space="0"/>
            </w:tcBorders>
            <w:vAlign w:val="center"/>
          </w:tcPr>
          <w:p w14:paraId="6137C885">
            <w:pPr>
              <w:widowControl/>
              <w:spacing w:line="400" w:lineRule="exact"/>
              <w:jc w:val="center"/>
              <w:rPr>
                <w:rFonts w:ascii="仿宋" w:hAnsi="仿宋" w:eastAsia="仿宋" w:cs="仿宋"/>
                <w:kern w:val="0"/>
                <w:sz w:val="24"/>
              </w:rPr>
            </w:pPr>
            <w:r>
              <w:rPr>
                <w:rFonts w:hint="eastAsia" w:ascii="仿宋" w:hAnsi="仿宋" w:eastAsia="仿宋" w:cs="仿宋"/>
                <w:kern w:val="0"/>
                <w:sz w:val="24"/>
              </w:rPr>
              <w:t>乙方</w:t>
            </w:r>
          </w:p>
        </w:tc>
      </w:tr>
      <w:tr w14:paraId="259A665C">
        <w:tblPrEx>
          <w:tblCellMar>
            <w:top w:w="0" w:type="dxa"/>
            <w:left w:w="108" w:type="dxa"/>
            <w:bottom w:w="0" w:type="dxa"/>
            <w:right w:w="108" w:type="dxa"/>
          </w:tblCellMar>
        </w:tblPrEx>
        <w:trPr>
          <w:cantSplit/>
          <w:trHeight w:val="678" w:hRule="atLeast"/>
          <w:jc w:val="center"/>
        </w:trPr>
        <w:tc>
          <w:tcPr>
            <w:tcW w:w="4503" w:type="dxa"/>
            <w:tcBorders>
              <w:top w:val="single" w:color="000000" w:sz="4" w:space="0"/>
              <w:left w:val="single" w:color="000000" w:sz="4" w:space="0"/>
              <w:bottom w:val="single" w:color="000000" w:sz="4" w:space="0"/>
              <w:right w:val="single" w:color="000000" w:sz="4" w:space="0"/>
            </w:tcBorders>
            <w:vAlign w:val="center"/>
          </w:tcPr>
          <w:p w14:paraId="35BD372E">
            <w:pPr>
              <w:widowControl/>
              <w:spacing w:line="400" w:lineRule="exact"/>
              <w:rPr>
                <w:rFonts w:ascii="仿宋" w:hAnsi="仿宋" w:eastAsia="仿宋" w:cs="仿宋"/>
                <w:sz w:val="24"/>
              </w:rPr>
            </w:pPr>
            <w:r>
              <w:rPr>
                <w:rFonts w:hint="eastAsia" w:ascii="仿宋" w:hAnsi="仿宋" w:eastAsia="仿宋" w:cs="仿宋"/>
                <w:kern w:val="0"/>
                <w:sz w:val="24"/>
              </w:rPr>
              <w:t>单位名称（盖章）：</w:t>
            </w:r>
          </w:p>
          <w:p w14:paraId="276BD3AD">
            <w:pPr>
              <w:widowControl/>
              <w:spacing w:line="400" w:lineRule="exact"/>
              <w:rPr>
                <w:rFonts w:hint="eastAsia" w:ascii="仿宋" w:hAnsi="仿宋" w:eastAsia="仿宋" w:cs="仿宋"/>
                <w:sz w:val="24"/>
                <w:lang w:eastAsia="zh-CN"/>
              </w:rPr>
            </w:pPr>
            <w:r>
              <w:rPr>
                <w:rFonts w:hint="eastAsia" w:ascii="仿宋" w:hAnsi="仿宋" w:eastAsia="仿宋" w:cs="仿宋"/>
                <w:sz w:val="24"/>
              </w:rPr>
              <w:t>广州市前进置业发展有限公司</w:t>
            </w:r>
          </w:p>
        </w:tc>
        <w:tc>
          <w:tcPr>
            <w:tcW w:w="4557" w:type="dxa"/>
            <w:tcBorders>
              <w:top w:val="single" w:color="000000" w:sz="4" w:space="0"/>
              <w:left w:val="nil"/>
              <w:bottom w:val="single" w:color="000000" w:sz="4" w:space="0"/>
              <w:right w:val="single" w:color="000000" w:sz="4" w:space="0"/>
            </w:tcBorders>
            <w:vAlign w:val="center"/>
          </w:tcPr>
          <w:p w14:paraId="4066150E">
            <w:pPr>
              <w:widowControl/>
              <w:spacing w:line="400" w:lineRule="exact"/>
              <w:rPr>
                <w:rFonts w:ascii="仿宋" w:hAnsi="仿宋" w:eastAsia="仿宋" w:cs="仿宋"/>
                <w:sz w:val="24"/>
              </w:rPr>
            </w:pPr>
            <w:r>
              <w:rPr>
                <w:rFonts w:hint="eastAsia" w:ascii="仿宋" w:hAnsi="仿宋" w:eastAsia="仿宋" w:cs="仿宋"/>
                <w:kern w:val="0"/>
                <w:sz w:val="24"/>
              </w:rPr>
              <w:t>单位名称（盖章）：</w:t>
            </w:r>
            <w:r>
              <w:rPr>
                <w:rFonts w:hint="eastAsia" w:ascii="仿宋" w:hAnsi="仿宋" w:eastAsia="仿宋" w:cs="仿宋"/>
                <w:sz w:val="24"/>
              </w:rPr>
              <w:t xml:space="preserve"> </w:t>
            </w:r>
          </w:p>
          <w:p w14:paraId="329F22B2">
            <w:pPr>
              <w:widowControl/>
              <w:spacing w:line="400" w:lineRule="exact"/>
              <w:rPr>
                <w:rFonts w:ascii="仿宋" w:hAnsi="仿宋" w:eastAsia="仿宋" w:cs="仿宋"/>
                <w:sz w:val="24"/>
              </w:rPr>
            </w:pPr>
          </w:p>
        </w:tc>
      </w:tr>
      <w:tr w14:paraId="1F2BC1CB">
        <w:tblPrEx>
          <w:tblCellMar>
            <w:top w:w="0" w:type="dxa"/>
            <w:left w:w="108" w:type="dxa"/>
            <w:bottom w:w="0" w:type="dxa"/>
            <w:right w:w="108" w:type="dxa"/>
          </w:tblCellMar>
        </w:tblPrEx>
        <w:trPr>
          <w:cantSplit/>
          <w:trHeight w:val="678" w:hRule="atLeast"/>
          <w:jc w:val="center"/>
        </w:trPr>
        <w:tc>
          <w:tcPr>
            <w:tcW w:w="4503" w:type="dxa"/>
            <w:tcBorders>
              <w:top w:val="single" w:color="000000" w:sz="4" w:space="0"/>
              <w:left w:val="single" w:color="000000" w:sz="4" w:space="0"/>
              <w:bottom w:val="single" w:color="000000" w:sz="4" w:space="0"/>
              <w:right w:val="single" w:color="000000" w:sz="4" w:space="0"/>
            </w:tcBorders>
            <w:vAlign w:val="center"/>
          </w:tcPr>
          <w:p w14:paraId="434548EF">
            <w:pPr>
              <w:widowControl/>
              <w:spacing w:line="400" w:lineRule="exact"/>
              <w:rPr>
                <w:rFonts w:ascii="仿宋" w:hAnsi="仿宋" w:eastAsia="仿宋" w:cs="仿宋"/>
                <w:kern w:val="0"/>
                <w:sz w:val="24"/>
              </w:rPr>
            </w:pPr>
            <w:r>
              <w:rPr>
                <w:rFonts w:hint="eastAsia" w:ascii="仿宋" w:hAnsi="仿宋" w:eastAsia="仿宋" w:cs="仿宋"/>
                <w:kern w:val="0"/>
                <w:sz w:val="24"/>
              </w:rPr>
              <w:t>地址：</w:t>
            </w:r>
            <w:r>
              <w:rPr>
                <w:rFonts w:hint="eastAsia" w:ascii="仿宋" w:hAnsi="仿宋" w:eastAsia="仿宋" w:cs="仿宋"/>
                <w:sz w:val="24"/>
              </w:rPr>
              <w:t>广州市天河区</w:t>
            </w:r>
            <w:r>
              <w:rPr>
                <w:rFonts w:hint="eastAsia" w:ascii="仿宋" w:hAnsi="仿宋" w:eastAsia="仿宋" w:cs="仿宋"/>
                <w:sz w:val="24"/>
                <w:lang w:eastAsia="zh-CN"/>
              </w:rPr>
              <w:t>桃园中路</w:t>
            </w:r>
            <w:r>
              <w:rPr>
                <w:rFonts w:hint="eastAsia" w:ascii="仿宋" w:hAnsi="仿宋" w:eastAsia="仿宋" w:cs="仿宋"/>
                <w:sz w:val="24"/>
                <w:lang w:val="en-US" w:eastAsia="zh-CN"/>
              </w:rPr>
              <w:t>3号</w:t>
            </w:r>
          </w:p>
        </w:tc>
        <w:tc>
          <w:tcPr>
            <w:tcW w:w="4557" w:type="dxa"/>
            <w:tcBorders>
              <w:top w:val="single" w:color="000000" w:sz="4" w:space="0"/>
              <w:left w:val="nil"/>
              <w:bottom w:val="single" w:color="000000" w:sz="4" w:space="0"/>
              <w:right w:val="single" w:color="000000" w:sz="4" w:space="0"/>
            </w:tcBorders>
            <w:vAlign w:val="center"/>
          </w:tcPr>
          <w:p w14:paraId="53B2C410">
            <w:pPr>
              <w:widowControl/>
              <w:spacing w:line="400" w:lineRule="exact"/>
              <w:rPr>
                <w:rFonts w:ascii="仿宋" w:hAnsi="仿宋" w:eastAsia="仿宋" w:cs="仿宋"/>
                <w:kern w:val="0"/>
                <w:sz w:val="24"/>
              </w:rPr>
            </w:pPr>
            <w:r>
              <w:rPr>
                <w:rFonts w:hint="eastAsia" w:ascii="仿宋" w:hAnsi="仿宋" w:eastAsia="仿宋" w:cs="仿宋"/>
                <w:kern w:val="0"/>
                <w:sz w:val="24"/>
              </w:rPr>
              <w:t>地址：</w:t>
            </w:r>
          </w:p>
        </w:tc>
      </w:tr>
      <w:tr w14:paraId="0AF21D22">
        <w:tblPrEx>
          <w:tblCellMar>
            <w:top w:w="0" w:type="dxa"/>
            <w:left w:w="108" w:type="dxa"/>
            <w:bottom w:w="0" w:type="dxa"/>
            <w:right w:w="108" w:type="dxa"/>
          </w:tblCellMar>
        </w:tblPrEx>
        <w:trPr>
          <w:cantSplit/>
          <w:trHeight w:val="678" w:hRule="atLeast"/>
          <w:jc w:val="center"/>
        </w:trPr>
        <w:tc>
          <w:tcPr>
            <w:tcW w:w="4503" w:type="dxa"/>
            <w:tcBorders>
              <w:top w:val="single" w:color="000000" w:sz="4" w:space="0"/>
              <w:left w:val="single" w:color="000000" w:sz="4" w:space="0"/>
              <w:bottom w:val="single" w:color="000000" w:sz="4" w:space="0"/>
              <w:right w:val="single" w:color="000000" w:sz="4" w:space="0"/>
            </w:tcBorders>
            <w:vAlign w:val="center"/>
          </w:tcPr>
          <w:p w14:paraId="4D4C3766">
            <w:pPr>
              <w:widowControl/>
              <w:spacing w:line="400" w:lineRule="exact"/>
              <w:rPr>
                <w:rFonts w:ascii="仿宋" w:hAnsi="仿宋" w:eastAsia="仿宋" w:cs="仿宋"/>
                <w:kern w:val="0"/>
                <w:sz w:val="24"/>
              </w:rPr>
            </w:pPr>
            <w:r>
              <w:rPr>
                <w:rFonts w:hint="eastAsia" w:ascii="仿宋" w:hAnsi="仿宋" w:eastAsia="仿宋" w:cs="仿宋"/>
                <w:kern w:val="0"/>
                <w:sz w:val="24"/>
              </w:rPr>
              <w:t>法定代表人（签名）：</w:t>
            </w:r>
          </w:p>
        </w:tc>
        <w:tc>
          <w:tcPr>
            <w:tcW w:w="4557" w:type="dxa"/>
            <w:tcBorders>
              <w:top w:val="single" w:color="000000" w:sz="4" w:space="0"/>
              <w:left w:val="nil"/>
              <w:bottom w:val="single" w:color="000000" w:sz="4" w:space="0"/>
              <w:right w:val="single" w:color="000000" w:sz="4" w:space="0"/>
            </w:tcBorders>
            <w:vAlign w:val="center"/>
          </w:tcPr>
          <w:p w14:paraId="1ED3CAD8">
            <w:pPr>
              <w:widowControl/>
              <w:spacing w:line="400" w:lineRule="exact"/>
              <w:rPr>
                <w:rFonts w:ascii="仿宋" w:hAnsi="仿宋" w:eastAsia="仿宋" w:cs="仿宋"/>
                <w:kern w:val="0"/>
                <w:sz w:val="24"/>
              </w:rPr>
            </w:pPr>
            <w:r>
              <w:rPr>
                <w:rFonts w:hint="eastAsia" w:ascii="仿宋" w:hAnsi="仿宋" w:eastAsia="仿宋" w:cs="仿宋"/>
                <w:kern w:val="0"/>
                <w:sz w:val="24"/>
              </w:rPr>
              <w:t>法定代表人（签名）：</w:t>
            </w:r>
            <w:r>
              <w:rPr>
                <w:rFonts w:hint="eastAsia" w:ascii="仿宋" w:hAnsi="仿宋" w:eastAsia="仿宋" w:cs="仿宋"/>
                <w:sz w:val="24"/>
              </w:rPr>
              <w:t xml:space="preserve"> </w:t>
            </w:r>
          </w:p>
        </w:tc>
      </w:tr>
      <w:tr w14:paraId="251A60BA">
        <w:tblPrEx>
          <w:tblCellMar>
            <w:top w:w="0" w:type="dxa"/>
            <w:left w:w="108" w:type="dxa"/>
            <w:bottom w:w="0" w:type="dxa"/>
            <w:right w:w="108" w:type="dxa"/>
          </w:tblCellMar>
        </w:tblPrEx>
        <w:trPr>
          <w:cantSplit/>
          <w:trHeight w:val="678" w:hRule="atLeast"/>
          <w:jc w:val="center"/>
        </w:trPr>
        <w:tc>
          <w:tcPr>
            <w:tcW w:w="4503" w:type="dxa"/>
            <w:tcBorders>
              <w:top w:val="single" w:color="000000" w:sz="4" w:space="0"/>
              <w:left w:val="single" w:color="000000" w:sz="4" w:space="0"/>
              <w:bottom w:val="single" w:color="000000" w:sz="4" w:space="0"/>
              <w:right w:val="single" w:color="000000" w:sz="4" w:space="0"/>
            </w:tcBorders>
            <w:vAlign w:val="center"/>
          </w:tcPr>
          <w:p w14:paraId="3502230E">
            <w:pPr>
              <w:widowControl/>
              <w:spacing w:line="400" w:lineRule="exact"/>
              <w:rPr>
                <w:rFonts w:ascii="仿宋" w:hAnsi="仿宋" w:eastAsia="仿宋" w:cs="仿宋"/>
                <w:sz w:val="24"/>
              </w:rPr>
            </w:pPr>
            <w:r>
              <w:rPr>
                <w:rFonts w:hint="eastAsia" w:ascii="仿宋" w:hAnsi="仿宋" w:eastAsia="仿宋" w:cs="仿宋"/>
                <w:kern w:val="0"/>
                <w:sz w:val="24"/>
              </w:rPr>
              <w:t>法定代表人身份证号码：</w:t>
            </w:r>
            <w:r>
              <w:rPr>
                <w:rFonts w:hint="eastAsia" w:ascii="仿宋" w:hAnsi="仿宋" w:eastAsia="仿宋" w:cs="仿宋"/>
                <w:sz w:val="24"/>
              </w:rPr>
              <w:t xml:space="preserve"> </w:t>
            </w:r>
          </w:p>
          <w:p w14:paraId="1F92E0B4">
            <w:pPr>
              <w:widowControl/>
              <w:spacing w:line="400" w:lineRule="exact"/>
              <w:rPr>
                <w:rFonts w:ascii="仿宋" w:hAnsi="仿宋" w:eastAsia="仿宋" w:cs="仿宋"/>
                <w:sz w:val="24"/>
              </w:rPr>
            </w:pPr>
          </w:p>
        </w:tc>
        <w:tc>
          <w:tcPr>
            <w:tcW w:w="4557" w:type="dxa"/>
            <w:tcBorders>
              <w:top w:val="single" w:color="000000" w:sz="4" w:space="0"/>
              <w:left w:val="nil"/>
              <w:bottom w:val="single" w:color="000000" w:sz="4" w:space="0"/>
              <w:right w:val="single" w:color="000000" w:sz="4" w:space="0"/>
            </w:tcBorders>
            <w:vAlign w:val="center"/>
          </w:tcPr>
          <w:p w14:paraId="5E87C78F">
            <w:pPr>
              <w:widowControl/>
              <w:spacing w:line="400" w:lineRule="exact"/>
              <w:rPr>
                <w:rFonts w:ascii="仿宋" w:hAnsi="仿宋" w:eastAsia="仿宋" w:cs="仿宋"/>
                <w:sz w:val="24"/>
              </w:rPr>
            </w:pPr>
            <w:r>
              <w:rPr>
                <w:rFonts w:hint="eastAsia" w:ascii="仿宋" w:hAnsi="仿宋" w:eastAsia="仿宋" w:cs="仿宋"/>
                <w:kern w:val="0"/>
                <w:sz w:val="24"/>
              </w:rPr>
              <w:t>法定代表人身份证号码：</w:t>
            </w:r>
          </w:p>
          <w:p w14:paraId="2C076AFC">
            <w:pPr>
              <w:widowControl/>
              <w:spacing w:line="400" w:lineRule="exact"/>
              <w:rPr>
                <w:rFonts w:ascii="仿宋" w:hAnsi="仿宋" w:eastAsia="仿宋" w:cs="仿宋"/>
                <w:kern w:val="0"/>
                <w:sz w:val="24"/>
              </w:rPr>
            </w:pPr>
          </w:p>
        </w:tc>
      </w:tr>
      <w:tr w14:paraId="2D3773B0">
        <w:tblPrEx>
          <w:tblCellMar>
            <w:top w:w="0" w:type="dxa"/>
            <w:left w:w="108" w:type="dxa"/>
            <w:bottom w:w="0" w:type="dxa"/>
            <w:right w:w="108" w:type="dxa"/>
          </w:tblCellMar>
        </w:tblPrEx>
        <w:trPr>
          <w:cantSplit/>
          <w:trHeight w:val="680" w:hRule="atLeast"/>
          <w:jc w:val="center"/>
        </w:trPr>
        <w:tc>
          <w:tcPr>
            <w:tcW w:w="4503" w:type="dxa"/>
            <w:tcBorders>
              <w:top w:val="single" w:color="000000" w:sz="4" w:space="0"/>
              <w:left w:val="single" w:color="000000" w:sz="4" w:space="0"/>
              <w:bottom w:val="single" w:color="000000" w:sz="4" w:space="0"/>
              <w:right w:val="single" w:color="000000" w:sz="4" w:space="0"/>
            </w:tcBorders>
            <w:vAlign w:val="center"/>
          </w:tcPr>
          <w:p w14:paraId="27DF710B">
            <w:pPr>
              <w:widowControl/>
              <w:spacing w:line="400" w:lineRule="exact"/>
              <w:rPr>
                <w:rFonts w:hint="default" w:ascii="仿宋" w:hAnsi="仿宋" w:eastAsia="仿宋" w:cs="仿宋"/>
                <w:kern w:val="0"/>
                <w:sz w:val="24"/>
                <w:lang w:val="en-US" w:eastAsia="zh-CN"/>
              </w:rPr>
            </w:pPr>
            <w:r>
              <w:rPr>
                <w:rFonts w:hint="eastAsia" w:ascii="仿宋" w:hAnsi="仿宋" w:eastAsia="仿宋" w:cs="仿宋"/>
                <w:kern w:val="0"/>
                <w:sz w:val="24"/>
              </w:rPr>
              <w:t xml:space="preserve">联系电话： </w:t>
            </w:r>
            <w:r>
              <w:rPr>
                <w:rFonts w:hint="eastAsia" w:ascii="仿宋" w:hAnsi="仿宋" w:eastAsia="仿宋" w:cs="仿宋"/>
                <w:kern w:val="0"/>
                <w:sz w:val="24"/>
                <w:lang w:val="en-US" w:eastAsia="zh-CN"/>
              </w:rPr>
              <w:t>82563779</w:t>
            </w:r>
          </w:p>
        </w:tc>
        <w:tc>
          <w:tcPr>
            <w:tcW w:w="4557" w:type="dxa"/>
            <w:tcBorders>
              <w:top w:val="single" w:color="000000" w:sz="4" w:space="0"/>
              <w:left w:val="nil"/>
              <w:bottom w:val="single" w:color="000000" w:sz="4" w:space="0"/>
              <w:right w:val="single" w:color="000000" w:sz="4" w:space="0"/>
            </w:tcBorders>
            <w:vAlign w:val="center"/>
          </w:tcPr>
          <w:p w14:paraId="74EC9284">
            <w:pPr>
              <w:widowControl/>
              <w:spacing w:line="400" w:lineRule="exact"/>
              <w:rPr>
                <w:rFonts w:ascii="仿宋" w:hAnsi="仿宋" w:eastAsia="仿宋" w:cs="仿宋"/>
                <w:kern w:val="0"/>
                <w:sz w:val="24"/>
              </w:rPr>
            </w:pPr>
            <w:r>
              <w:rPr>
                <w:rFonts w:hint="eastAsia" w:ascii="仿宋" w:hAnsi="仿宋" w:eastAsia="仿宋" w:cs="仿宋"/>
                <w:kern w:val="0"/>
                <w:sz w:val="24"/>
              </w:rPr>
              <w:t>联系电话：</w:t>
            </w:r>
          </w:p>
        </w:tc>
      </w:tr>
      <w:tr w14:paraId="0799D64B">
        <w:tblPrEx>
          <w:tblCellMar>
            <w:top w:w="0" w:type="dxa"/>
            <w:left w:w="108" w:type="dxa"/>
            <w:bottom w:w="0" w:type="dxa"/>
            <w:right w:w="108" w:type="dxa"/>
          </w:tblCellMar>
        </w:tblPrEx>
        <w:trPr>
          <w:cantSplit/>
          <w:trHeight w:val="1000" w:hRule="atLeast"/>
          <w:jc w:val="center"/>
        </w:trPr>
        <w:tc>
          <w:tcPr>
            <w:tcW w:w="4503" w:type="dxa"/>
            <w:tcBorders>
              <w:top w:val="single" w:color="000000" w:sz="4" w:space="0"/>
              <w:left w:val="single" w:color="000000" w:sz="4" w:space="0"/>
              <w:bottom w:val="single" w:color="000000" w:sz="4" w:space="0"/>
              <w:right w:val="single" w:color="000000" w:sz="4" w:space="0"/>
            </w:tcBorders>
            <w:vAlign w:val="center"/>
          </w:tcPr>
          <w:p w14:paraId="1EC28EA0">
            <w:pPr>
              <w:widowControl/>
              <w:spacing w:line="400" w:lineRule="exact"/>
              <w:rPr>
                <w:rFonts w:ascii="仿宋" w:hAnsi="仿宋" w:eastAsia="仿宋" w:cs="仿宋"/>
                <w:kern w:val="0"/>
                <w:sz w:val="24"/>
              </w:rPr>
            </w:pPr>
            <w:r>
              <w:rPr>
                <w:rFonts w:hint="eastAsia" w:ascii="仿宋" w:hAnsi="仿宋" w:eastAsia="仿宋" w:cs="仿宋"/>
                <w:kern w:val="0"/>
                <w:sz w:val="24"/>
              </w:rPr>
              <w:t>签订日期：</w:t>
            </w:r>
          </w:p>
        </w:tc>
        <w:tc>
          <w:tcPr>
            <w:tcW w:w="4557" w:type="dxa"/>
            <w:tcBorders>
              <w:top w:val="single" w:color="000000" w:sz="4" w:space="0"/>
              <w:left w:val="nil"/>
              <w:bottom w:val="single" w:color="000000" w:sz="4" w:space="0"/>
              <w:right w:val="single" w:color="000000" w:sz="4" w:space="0"/>
            </w:tcBorders>
            <w:vAlign w:val="center"/>
          </w:tcPr>
          <w:p w14:paraId="6837B96A">
            <w:pPr>
              <w:widowControl/>
              <w:spacing w:line="400" w:lineRule="exact"/>
              <w:rPr>
                <w:rFonts w:ascii="仿宋" w:hAnsi="仿宋" w:eastAsia="仿宋" w:cs="仿宋"/>
                <w:kern w:val="0"/>
                <w:sz w:val="24"/>
              </w:rPr>
            </w:pPr>
            <w:r>
              <w:rPr>
                <w:rFonts w:hint="eastAsia" w:ascii="仿宋" w:hAnsi="仿宋" w:eastAsia="仿宋" w:cs="仿宋"/>
                <w:kern w:val="0"/>
                <w:sz w:val="24"/>
              </w:rPr>
              <w:t>签订日期：</w:t>
            </w:r>
          </w:p>
        </w:tc>
      </w:tr>
      <w:tr w14:paraId="0DAC068C">
        <w:tblPrEx>
          <w:tblCellMar>
            <w:top w:w="0" w:type="dxa"/>
            <w:left w:w="108" w:type="dxa"/>
            <w:bottom w:w="0" w:type="dxa"/>
            <w:right w:w="108" w:type="dxa"/>
          </w:tblCellMar>
        </w:tblPrEx>
        <w:trPr>
          <w:cantSplit/>
          <w:trHeight w:val="859" w:hRule="atLeast"/>
          <w:jc w:val="center"/>
        </w:trPr>
        <w:tc>
          <w:tcPr>
            <w:tcW w:w="9060" w:type="dxa"/>
            <w:gridSpan w:val="2"/>
            <w:tcBorders>
              <w:top w:val="single" w:color="000000" w:sz="4" w:space="0"/>
              <w:left w:val="single" w:color="000000" w:sz="4" w:space="0"/>
              <w:bottom w:val="single" w:color="000000" w:sz="4" w:space="0"/>
              <w:right w:val="single" w:color="000000" w:sz="4" w:space="0"/>
            </w:tcBorders>
            <w:vAlign w:val="center"/>
          </w:tcPr>
          <w:p w14:paraId="5CD75AD9">
            <w:pPr>
              <w:widowControl/>
              <w:spacing w:line="400" w:lineRule="exact"/>
              <w:jc w:val="center"/>
              <w:rPr>
                <w:rFonts w:ascii="仿宋" w:hAnsi="仿宋" w:eastAsia="仿宋" w:cs="仿宋"/>
                <w:b/>
                <w:bCs/>
                <w:kern w:val="0"/>
                <w:sz w:val="24"/>
              </w:rPr>
            </w:pPr>
            <w:r>
              <w:rPr>
                <w:rFonts w:hint="eastAsia" w:ascii="仿宋" w:hAnsi="仿宋" w:eastAsia="仿宋" w:cs="仿宋"/>
                <w:b/>
                <w:bCs/>
                <w:kern w:val="0"/>
                <w:sz w:val="24"/>
              </w:rPr>
              <w:t>合同见证人</w:t>
            </w:r>
          </w:p>
        </w:tc>
      </w:tr>
      <w:tr w14:paraId="2033E9A0">
        <w:tblPrEx>
          <w:tblCellMar>
            <w:top w:w="0" w:type="dxa"/>
            <w:left w:w="108" w:type="dxa"/>
            <w:bottom w:w="0" w:type="dxa"/>
            <w:right w:w="108" w:type="dxa"/>
          </w:tblCellMar>
        </w:tblPrEx>
        <w:trPr>
          <w:cantSplit/>
          <w:trHeight w:val="2445" w:hRule="atLeast"/>
          <w:jc w:val="center"/>
        </w:trPr>
        <w:tc>
          <w:tcPr>
            <w:tcW w:w="9060" w:type="dxa"/>
            <w:gridSpan w:val="2"/>
            <w:tcBorders>
              <w:top w:val="single" w:color="000000" w:sz="4" w:space="0"/>
              <w:left w:val="single" w:color="000000" w:sz="4" w:space="0"/>
              <w:bottom w:val="single" w:color="000000" w:sz="4" w:space="0"/>
              <w:right w:val="single" w:color="000000" w:sz="4" w:space="0"/>
            </w:tcBorders>
          </w:tcPr>
          <w:p w14:paraId="0E2E90CC">
            <w:pPr>
              <w:widowControl/>
              <w:spacing w:line="400" w:lineRule="exact"/>
              <w:rPr>
                <w:rFonts w:ascii="仿宋" w:hAnsi="仿宋" w:eastAsia="仿宋" w:cs="仿宋"/>
                <w:kern w:val="0"/>
                <w:sz w:val="24"/>
              </w:rPr>
            </w:pPr>
          </w:p>
          <w:p w14:paraId="3491FBC0">
            <w:pPr>
              <w:widowControl/>
              <w:spacing w:line="400" w:lineRule="exact"/>
              <w:rPr>
                <w:rFonts w:ascii="仿宋" w:hAnsi="仿宋" w:eastAsia="仿宋" w:cs="仿宋"/>
                <w:kern w:val="0"/>
                <w:sz w:val="24"/>
              </w:rPr>
            </w:pPr>
            <w:r>
              <w:rPr>
                <w:rFonts w:hint="eastAsia" w:ascii="仿宋" w:hAnsi="仿宋" w:eastAsia="仿宋" w:cs="仿宋"/>
                <w:kern w:val="0"/>
                <w:sz w:val="24"/>
              </w:rPr>
              <w:t>签名：</w:t>
            </w:r>
          </w:p>
          <w:p w14:paraId="10AEA571">
            <w:pPr>
              <w:widowControl/>
              <w:spacing w:line="400" w:lineRule="exact"/>
              <w:rPr>
                <w:rFonts w:ascii="仿宋" w:hAnsi="仿宋" w:eastAsia="仿宋" w:cs="仿宋"/>
                <w:kern w:val="0"/>
                <w:sz w:val="24"/>
              </w:rPr>
            </w:pPr>
          </w:p>
          <w:p w14:paraId="6CE444B7">
            <w:pPr>
              <w:widowControl/>
              <w:spacing w:line="400" w:lineRule="exact"/>
              <w:rPr>
                <w:rFonts w:ascii="仿宋" w:hAnsi="仿宋" w:eastAsia="仿宋" w:cs="仿宋"/>
                <w:kern w:val="0"/>
                <w:sz w:val="24"/>
              </w:rPr>
            </w:pPr>
          </w:p>
          <w:p w14:paraId="7D25A3B1">
            <w:pPr>
              <w:widowControl/>
              <w:spacing w:line="400" w:lineRule="exact"/>
              <w:rPr>
                <w:rFonts w:ascii="仿宋" w:hAnsi="仿宋" w:eastAsia="仿宋" w:cs="仿宋"/>
                <w:kern w:val="0"/>
                <w:sz w:val="24"/>
              </w:rPr>
            </w:pPr>
            <w:r>
              <w:rPr>
                <w:rFonts w:hint="eastAsia" w:ascii="仿宋" w:hAnsi="仿宋" w:eastAsia="仿宋" w:cs="仿宋"/>
                <w:kern w:val="0"/>
                <w:sz w:val="24"/>
              </w:rPr>
              <w:t>日期：</w:t>
            </w:r>
          </w:p>
        </w:tc>
      </w:tr>
    </w:tbl>
    <w:p w14:paraId="167DADA1">
      <w:pPr>
        <w:spacing w:line="400" w:lineRule="exact"/>
        <w:ind w:firstLine="560" w:firstLineChars="200"/>
        <w:rPr>
          <w:rFonts w:ascii="仿宋" w:hAnsi="仿宋" w:eastAsia="仿宋" w:cs="仿宋"/>
          <w:sz w:val="28"/>
          <w:szCs w:val="28"/>
        </w:rPr>
      </w:pPr>
    </w:p>
    <w:p w14:paraId="2E4E9A00">
      <w:pPr>
        <w:rPr>
          <w:rFonts w:ascii="仿宋" w:hAnsi="仿宋" w:eastAsia="仿宋" w:cs="仿宋"/>
          <w:sz w:val="28"/>
          <w:szCs w:val="28"/>
        </w:rPr>
      </w:pPr>
      <w:r>
        <w:rPr>
          <w:rFonts w:ascii="仿宋" w:hAnsi="仿宋" w:eastAsia="仿宋" w:cs="仿宋"/>
          <w:sz w:val="28"/>
          <w:szCs w:val="28"/>
        </w:rPr>
        <w:br w:type="page"/>
      </w:r>
    </w:p>
    <w:p w14:paraId="6C01B4AC">
      <w:pPr>
        <w:rPr>
          <w:rFonts w:ascii="仿宋" w:hAnsi="仿宋" w:eastAsia="仿宋" w:cs="仿宋"/>
          <w:b/>
          <w:bCs/>
          <w:sz w:val="24"/>
        </w:rPr>
      </w:pPr>
      <w:r>
        <w:rPr>
          <w:rFonts w:hint="eastAsia" w:ascii="仿宋" w:hAnsi="仿宋" w:eastAsia="仿宋" w:cs="仿宋"/>
          <w:b/>
          <w:bCs/>
          <w:sz w:val="24"/>
        </w:rPr>
        <w:t>附图：</w:t>
      </w:r>
    </w:p>
    <w:p w14:paraId="0FAF50E7">
      <w:pPr>
        <w:rPr>
          <w:color w:val="auto"/>
        </w:rPr>
      </w:pPr>
      <w:r>
        <w:rPr>
          <w:rFonts w:hint="eastAsia"/>
          <w:color w:val="auto"/>
        </w:rPr>
        <w:t>建(构）筑物、附着物面积汇总表</w:t>
      </w:r>
    </w:p>
    <w:p w14:paraId="09569E6C">
      <w:pPr>
        <w:rPr>
          <w:rFonts w:hint="eastAsia" w:eastAsia="宋体"/>
          <w:lang w:eastAsia="zh-CN"/>
        </w:rPr>
      </w:pPr>
    </w:p>
    <w:p w14:paraId="636225AA">
      <w:pPr>
        <w:rPr>
          <w:rFonts w:hint="eastAsia"/>
        </w:rPr>
      </w:pPr>
      <w:r>
        <w:drawing>
          <wp:inline distT="0" distB="0" distL="114300" distR="114300">
            <wp:extent cx="5038725" cy="739140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7"/>
                    <a:stretch>
                      <a:fillRect/>
                    </a:stretch>
                  </pic:blipFill>
                  <pic:spPr>
                    <a:xfrm>
                      <a:off x="0" y="0"/>
                      <a:ext cx="5038725" cy="7391400"/>
                    </a:xfrm>
                    <a:prstGeom prst="rect">
                      <a:avLst/>
                    </a:prstGeom>
                    <a:noFill/>
                    <a:ln>
                      <a:noFill/>
                    </a:ln>
                  </pic:spPr>
                </pic:pic>
              </a:graphicData>
            </a:graphic>
          </wp:inline>
        </w:drawing>
      </w:r>
    </w:p>
    <w:p w14:paraId="44D53A8D">
      <w:pPr>
        <w:rPr>
          <w:rFonts w:hint="eastAsia"/>
        </w:rPr>
      </w:pPr>
      <w:r>
        <w:rPr>
          <w:rFonts w:hint="eastAsia"/>
        </w:rPr>
        <w:br w:type="page"/>
      </w:r>
    </w:p>
    <w:p w14:paraId="2C1EE3D9">
      <w:pPr>
        <w:rPr>
          <w:rFonts w:hint="eastAsia"/>
        </w:rPr>
      </w:pPr>
    </w:p>
    <w:p w14:paraId="78BAB25D">
      <w:r>
        <w:rPr>
          <w:rFonts w:hint="eastAsia"/>
        </w:rPr>
        <w:t>附图：</w:t>
      </w:r>
    </w:p>
    <w:p w14:paraId="7BC05C59">
      <w:pPr>
        <w:rPr>
          <w:color w:val="auto"/>
        </w:rPr>
      </w:pPr>
      <w:r>
        <w:rPr>
          <w:rFonts w:hint="eastAsia"/>
          <w:color w:val="auto"/>
        </w:rPr>
        <w:t>四至图</w:t>
      </w:r>
    </w:p>
    <w:p w14:paraId="361A61EF">
      <w:r>
        <w:drawing>
          <wp:inline distT="0" distB="0" distL="114300" distR="114300">
            <wp:extent cx="5860415" cy="6314440"/>
            <wp:effectExtent l="0" t="0" r="698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860415" cy="6314440"/>
                    </a:xfrm>
                    <a:prstGeom prst="rect">
                      <a:avLst/>
                    </a:prstGeom>
                    <a:noFill/>
                    <a:ln>
                      <a:noFill/>
                    </a:ln>
                  </pic:spPr>
                </pic:pic>
              </a:graphicData>
            </a:graphic>
          </wp:inline>
        </w:drawing>
      </w:r>
      <w:r>
        <w:br w:type="page"/>
      </w:r>
    </w:p>
    <w:p w14:paraId="61DF4887">
      <w:r>
        <w:rPr>
          <w:rFonts w:hint="eastAsia"/>
        </w:rPr>
        <w:t>附图：</w:t>
      </w:r>
    </w:p>
    <w:p w14:paraId="162F890A">
      <w:pPr>
        <w:rPr>
          <w:color w:val="auto"/>
        </w:rPr>
      </w:pPr>
      <w:r>
        <w:rPr>
          <w:rFonts w:hint="eastAsia"/>
          <w:color w:val="auto"/>
        </w:rPr>
        <w:t>现场照片</w:t>
      </w:r>
    </w:p>
    <w:p w14:paraId="26B7A1F0"/>
    <w:p w14:paraId="7512DD3C">
      <w:pPr>
        <w:rPr>
          <w:rFonts w:hint="eastAsia" w:eastAsia="宋体"/>
          <w:lang w:eastAsia="zh-CN"/>
        </w:rPr>
      </w:pPr>
    </w:p>
    <w:p w14:paraId="42A0E91B">
      <w:r>
        <w:drawing>
          <wp:inline distT="0" distB="0" distL="114300" distR="114300">
            <wp:extent cx="5314950" cy="6934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314950" cy="6934200"/>
                    </a:xfrm>
                    <a:prstGeom prst="rect">
                      <a:avLst/>
                    </a:prstGeom>
                    <a:noFill/>
                    <a:ln>
                      <a:noFill/>
                    </a:ln>
                  </pic:spPr>
                </pic:pic>
              </a:graphicData>
            </a:graphic>
          </wp:inline>
        </w:drawing>
      </w:r>
      <w:r>
        <w:drawing>
          <wp:inline distT="0" distB="0" distL="114300" distR="114300">
            <wp:extent cx="5248275" cy="70199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48275" cy="7019925"/>
                    </a:xfrm>
                    <a:prstGeom prst="rect">
                      <a:avLst/>
                    </a:prstGeom>
                    <a:noFill/>
                    <a:ln>
                      <a:noFill/>
                    </a:ln>
                  </pic:spPr>
                </pic:pic>
              </a:graphicData>
            </a:graphic>
          </wp:inline>
        </w:drawing>
      </w:r>
      <w:r>
        <w:drawing>
          <wp:inline distT="0" distB="0" distL="114300" distR="114300">
            <wp:extent cx="5334000" cy="68389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334000" cy="6838950"/>
                    </a:xfrm>
                    <a:prstGeom prst="rect">
                      <a:avLst/>
                    </a:prstGeom>
                    <a:noFill/>
                    <a:ln>
                      <a:noFill/>
                    </a:ln>
                  </pic:spPr>
                </pic:pic>
              </a:graphicData>
            </a:graphic>
          </wp:inline>
        </w:drawing>
      </w:r>
      <w:r>
        <w:drawing>
          <wp:inline distT="0" distB="0" distL="114300" distR="114300">
            <wp:extent cx="5238750" cy="67151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238750" cy="6715125"/>
                    </a:xfrm>
                    <a:prstGeom prst="rect">
                      <a:avLst/>
                    </a:prstGeom>
                    <a:noFill/>
                    <a:ln>
                      <a:noFill/>
                    </a:ln>
                  </pic:spPr>
                </pic:pic>
              </a:graphicData>
            </a:graphic>
          </wp:inline>
        </w:drawing>
      </w:r>
      <w:r>
        <w:drawing>
          <wp:inline distT="0" distB="0" distL="114300" distR="114300">
            <wp:extent cx="5191125" cy="696277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5191125" cy="6962775"/>
                    </a:xfrm>
                    <a:prstGeom prst="rect">
                      <a:avLst/>
                    </a:prstGeom>
                    <a:noFill/>
                    <a:ln>
                      <a:noFill/>
                    </a:ln>
                  </pic:spPr>
                </pic:pic>
              </a:graphicData>
            </a:graphic>
          </wp:inline>
        </w:drawing>
      </w:r>
      <w:r>
        <w:drawing>
          <wp:inline distT="0" distB="0" distL="114300" distR="114300">
            <wp:extent cx="5410200" cy="71342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410200" cy="7134225"/>
                    </a:xfrm>
                    <a:prstGeom prst="rect">
                      <a:avLst/>
                    </a:prstGeom>
                    <a:noFill/>
                    <a:ln>
                      <a:noFill/>
                    </a:ln>
                  </pic:spPr>
                </pic:pic>
              </a:graphicData>
            </a:graphic>
          </wp:inline>
        </w:drawing>
      </w:r>
      <w:r>
        <w:drawing>
          <wp:inline distT="0" distB="0" distL="114300" distR="114300">
            <wp:extent cx="5372100" cy="69246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5372100" cy="6924675"/>
                    </a:xfrm>
                    <a:prstGeom prst="rect">
                      <a:avLst/>
                    </a:prstGeom>
                    <a:noFill/>
                    <a:ln>
                      <a:noFill/>
                    </a:ln>
                  </pic:spPr>
                </pic:pic>
              </a:graphicData>
            </a:graphic>
          </wp:inline>
        </w:drawing>
      </w:r>
      <w:r>
        <w:drawing>
          <wp:inline distT="0" distB="0" distL="114300" distR="114300">
            <wp:extent cx="5419725" cy="701040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5419725" cy="7010400"/>
                    </a:xfrm>
                    <a:prstGeom prst="rect">
                      <a:avLst/>
                    </a:prstGeom>
                    <a:noFill/>
                    <a:ln>
                      <a:noFill/>
                    </a:ln>
                  </pic:spPr>
                </pic:pic>
              </a:graphicData>
            </a:graphic>
          </wp:inline>
        </w:drawing>
      </w:r>
      <w:r>
        <w:drawing>
          <wp:inline distT="0" distB="0" distL="114300" distR="114300">
            <wp:extent cx="5524500" cy="74199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5524500" cy="7419975"/>
                    </a:xfrm>
                    <a:prstGeom prst="rect">
                      <a:avLst/>
                    </a:prstGeom>
                    <a:noFill/>
                    <a:ln>
                      <a:noFill/>
                    </a:ln>
                  </pic:spPr>
                </pic:pic>
              </a:graphicData>
            </a:graphic>
          </wp:inline>
        </w:drawing>
      </w:r>
    </w:p>
    <w:sectPr>
      <w:headerReference r:id="rId3" w:type="default"/>
      <w:footerReference r:id="rId4" w:type="default"/>
      <w:footerReference r:id="rId5" w:type="even"/>
      <w:pgSz w:w="11906" w:h="16838"/>
      <w:pgMar w:top="1304" w:right="1362" w:bottom="1247" w:left="1304" w:header="851" w:footer="907" w:gutter="0"/>
      <w:pgNumType w:start="1"/>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001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roman"/>
    <w:pitch w:val="default"/>
    <w:sig w:usb0="00000000" w:usb1="00000000" w:usb2="0000003F" w:usb3="00000000" w:csb0="603F01FF" w:csb1="FFFF0000"/>
  </w:font>
  <w:font w:name="Garamond">
    <w:altName w:val="PMingLiU-ExtB"/>
    <w:panose1 w:val="02020404030301010803"/>
    <w:charset w:val="00"/>
    <w:family w:val="roman"/>
    <w:pitch w:val="default"/>
    <w:sig w:usb0="00000000" w:usb1="00000000" w:usb2="00000000" w:usb3="00000000" w:csb0="0000009F" w:csb1="DFD70000"/>
  </w:font>
  <w:font w:name="Verdana">
    <w:panose1 w:val="020B0604030504040204"/>
    <w:charset w:val="00"/>
    <w:family w:val="swiss"/>
    <w:pitch w:val="default"/>
    <w:sig w:usb0="A00006FF" w:usb1="4000205B" w:usb2="00000010" w:usb3="00000000" w:csb0="2000019F" w:csb1="00000000"/>
  </w:font>
  <w:font w:name="长城仿宋">
    <w:altName w:val="仿宋"/>
    <w:panose1 w:val="000000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BDE69">
    <w:pPr>
      <w:pStyle w:val="34"/>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12</w:t>
    </w:r>
    <w:r>
      <w:rPr>
        <w:sz w:val="21"/>
        <w:szCs w:val="21"/>
      </w:rPr>
      <w:fldChar w:fldCharType="end"/>
    </w:r>
  </w:p>
  <w:p w14:paraId="0AAB7922">
    <w:pPr>
      <w:pStyle w:val="34"/>
      <w:ind w:firstLine="1710" w:firstLineChars="95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EB2A">
    <w:pPr>
      <w:pStyle w:val="34"/>
      <w:framePr w:wrap="around" w:vAnchor="text" w:hAnchor="margin" w:xAlign="center" w:y="1"/>
      <w:rPr>
        <w:rStyle w:val="57"/>
      </w:rPr>
    </w:pPr>
    <w:r>
      <w:fldChar w:fldCharType="begin"/>
    </w:r>
    <w:r>
      <w:rPr>
        <w:rStyle w:val="57"/>
      </w:rPr>
      <w:instrText xml:space="preserve">PAGE  </w:instrText>
    </w:r>
    <w:r>
      <w:fldChar w:fldCharType="end"/>
    </w:r>
  </w:p>
  <w:p w14:paraId="672AAA2C">
    <w:pPr>
      <w:pStyle w:val="3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64356">
    <w:pPr>
      <w:pStyle w:val="35"/>
      <w:pBdr>
        <w:bottom w:val="none" w:color="auto" w:sz="0" w:space="0"/>
      </w:pBdr>
      <w:ind w:right="34"/>
      <w:jc w:val="both"/>
      <w:rPr>
        <w:rFonts w:ascii="宋体" w:hAnsi="宋体"/>
        <w:position w:val="6"/>
        <w:u w:color="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E6B4EF"/>
    <w:multiLevelType w:val="singleLevel"/>
    <w:tmpl w:val="9DE6B4EF"/>
    <w:lvl w:ilvl="0" w:tentative="0">
      <w:start w:val="1"/>
      <w:numFmt w:val="decimal"/>
      <w:suff w:val="nothing"/>
      <w:lvlText w:val="%1、"/>
      <w:lvlJc w:val="left"/>
    </w:lvl>
  </w:abstractNum>
  <w:abstractNum w:abstractNumId="1">
    <w:nsid w:val="AAB33AD2"/>
    <w:multiLevelType w:val="singleLevel"/>
    <w:tmpl w:val="AAB33AD2"/>
    <w:lvl w:ilvl="0" w:tentative="0">
      <w:start w:val="1"/>
      <w:numFmt w:val="chineseCounting"/>
      <w:suff w:val="nothing"/>
      <w:lvlText w:val="（%1）"/>
      <w:lvlJc w:val="left"/>
      <w:rPr>
        <w:rFonts w:hint="eastAsia"/>
      </w:rPr>
    </w:lvl>
  </w:abstractNum>
  <w:abstractNum w:abstractNumId="2">
    <w:nsid w:val="D0582C29"/>
    <w:multiLevelType w:val="singleLevel"/>
    <w:tmpl w:val="D0582C29"/>
    <w:lvl w:ilvl="0" w:tentative="0">
      <w:start w:val="3"/>
      <w:numFmt w:val="decimal"/>
      <w:suff w:val="nothing"/>
      <w:lvlText w:val="%1、"/>
      <w:lvlJc w:val="left"/>
    </w:lvl>
  </w:abstractNum>
  <w:abstractNum w:abstractNumId="3">
    <w:nsid w:val="D44F2ECB"/>
    <w:multiLevelType w:val="singleLevel"/>
    <w:tmpl w:val="D44F2ECB"/>
    <w:lvl w:ilvl="0" w:tentative="0">
      <w:start w:val="1"/>
      <w:numFmt w:val="chineseCounting"/>
      <w:suff w:val="nothing"/>
      <w:lvlText w:val="（%1）"/>
      <w:lvlJc w:val="left"/>
      <w:pPr>
        <w:ind w:left="0" w:firstLine="420"/>
      </w:pPr>
      <w:rPr>
        <w:rFonts w:hint="eastAsia"/>
      </w:rPr>
    </w:lvl>
  </w:abstractNum>
  <w:abstractNum w:abstractNumId="4">
    <w:nsid w:val="00000001"/>
    <w:multiLevelType w:val="multilevel"/>
    <w:tmpl w:val="00000001"/>
    <w:lvl w:ilvl="0" w:tentative="0">
      <w:start w:val="1"/>
      <w:numFmt w:val="chineseCountingThousand"/>
      <w:pStyle w:val="112"/>
      <w:lvlText w:val="%1"/>
      <w:lvlJc w:val="left"/>
      <w:pPr>
        <w:tabs>
          <w:tab w:val="left" w:pos="420"/>
        </w:tabs>
        <w:ind w:left="420" w:hanging="420"/>
      </w:pPr>
      <w:rPr>
        <w:rFonts w:hint="eastAsia"/>
        <w:b/>
        <w:i w:val="0"/>
        <w:sz w:val="28"/>
        <w:szCs w:val="28"/>
      </w:rPr>
    </w:lvl>
    <w:lvl w:ilvl="1" w:tentative="0">
      <w:start w:val="1"/>
      <w:numFmt w:val="none"/>
      <w:pStyle w:val="127"/>
      <w:suff w:val="nothing"/>
      <w:lvlText w:val=""/>
      <w:lvlJc w:val="left"/>
      <w:pPr>
        <w:ind w:left="0" w:firstLine="0"/>
      </w:pPr>
      <w:rPr>
        <w:rFonts w:hint="eastAsia"/>
      </w:rPr>
    </w:lvl>
    <w:lvl w:ilvl="2" w:tentative="0">
      <w:start w:val="1"/>
      <w:numFmt w:val="none"/>
      <w:pStyle w:val="5"/>
      <w:suff w:val="nothing"/>
      <w:lvlText w:val=""/>
      <w:lvlJc w:val="left"/>
      <w:pPr>
        <w:ind w:left="0" w:firstLine="0"/>
      </w:pPr>
      <w:rPr>
        <w:rFonts w:hint="eastAsia"/>
      </w:rPr>
    </w:lvl>
    <w:lvl w:ilvl="3" w:tentative="0">
      <w:start w:val="1"/>
      <w:numFmt w:val="none"/>
      <w:pStyle w:val="94"/>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5">
    <w:nsid w:val="02965036"/>
    <w:multiLevelType w:val="singleLevel"/>
    <w:tmpl w:val="02965036"/>
    <w:lvl w:ilvl="0" w:tentative="0">
      <w:start w:val="2"/>
      <w:numFmt w:val="chineseCounting"/>
      <w:suff w:val="nothing"/>
      <w:lvlText w:val="（%1）"/>
      <w:lvlJc w:val="left"/>
      <w:rPr>
        <w:rFonts w:hint="eastAsia"/>
      </w:rPr>
    </w:lvl>
  </w:abstractNum>
  <w:abstractNum w:abstractNumId="6">
    <w:nsid w:val="33AB65B4"/>
    <w:multiLevelType w:val="singleLevel"/>
    <w:tmpl w:val="33AB65B4"/>
    <w:lvl w:ilvl="0" w:tentative="0">
      <w:start w:val="1"/>
      <w:numFmt w:val="chineseCounting"/>
      <w:suff w:val="nothing"/>
      <w:lvlText w:val="（%1）"/>
      <w:lvlJc w:val="left"/>
      <w:pPr>
        <w:ind w:left="0" w:firstLine="420"/>
      </w:pPr>
      <w:rPr>
        <w:rFonts w:hint="eastAsia"/>
      </w:rPr>
    </w:lvl>
  </w:abstractNum>
  <w:num w:numId="1">
    <w:abstractNumId w:val="4"/>
  </w:num>
  <w:num w:numId="2">
    <w:abstractNumId w:val="1"/>
  </w:num>
  <w:num w:numId="3">
    <w:abstractNumId w:val="6"/>
  </w:num>
  <w:num w:numId="4">
    <w:abstractNumId w:val="3"/>
  </w:num>
  <w:num w:numId="5">
    <w:abstractNumId w:val="2"/>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MwNTg4ZjIxOGIzNGU0OTA4YjRmYTVmNDI5MTVlYzIifQ=="/>
  </w:docVars>
  <w:rsids>
    <w:rsidRoot w:val="00172A27"/>
    <w:rsid w:val="00001730"/>
    <w:rsid w:val="000023A1"/>
    <w:rsid w:val="00003D20"/>
    <w:rsid w:val="00004D03"/>
    <w:rsid w:val="000112B9"/>
    <w:rsid w:val="000143B4"/>
    <w:rsid w:val="0002539A"/>
    <w:rsid w:val="000266EB"/>
    <w:rsid w:val="00026A74"/>
    <w:rsid w:val="000303AA"/>
    <w:rsid w:val="00032D58"/>
    <w:rsid w:val="0003415F"/>
    <w:rsid w:val="000360C1"/>
    <w:rsid w:val="0003658D"/>
    <w:rsid w:val="00042AA7"/>
    <w:rsid w:val="000451E0"/>
    <w:rsid w:val="00047CBF"/>
    <w:rsid w:val="0005525E"/>
    <w:rsid w:val="0005589A"/>
    <w:rsid w:val="00057BF6"/>
    <w:rsid w:val="000604BF"/>
    <w:rsid w:val="00061458"/>
    <w:rsid w:val="00061A90"/>
    <w:rsid w:val="000631EB"/>
    <w:rsid w:val="0006526E"/>
    <w:rsid w:val="00065B35"/>
    <w:rsid w:val="00066549"/>
    <w:rsid w:val="00066CBF"/>
    <w:rsid w:val="000679F9"/>
    <w:rsid w:val="00067C4E"/>
    <w:rsid w:val="000733F7"/>
    <w:rsid w:val="00073CB0"/>
    <w:rsid w:val="00074426"/>
    <w:rsid w:val="0007556E"/>
    <w:rsid w:val="000762EA"/>
    <w:rsid w:val="00076FFF"/>
    <w:rsid w:val="00081427"/>
    <w:rsid w:val="00082221"/>
    <w:rsid w:val="000839C1"/>
    <w:rsid w:val="0008798E"/>
    <w:rsid w:val="00087C50"/>
    <w:rsid w:val="00092779"/>
    <w:rsid w:val="000937DC"/>
    <w:rsid w:val="00096FE0"/>
    <w:rsid w:val="000979F7"/>
    <w:rsid w:val="000A1D98"/>
    <w:rsid w:val="000A2B7B"/>
    <w:rsid w:val="000A2F53"/>
    <w:rsid w:val="000A7121"/>
    <w:rsid w:val="000A71E0"/>
    <w:rsid w:val="000B03D6"/>
    <w:rsid w:val="000B05A8"/>
    <w:rsid w:val="000B08FF"/>
    <w:rsid w:val="000B53F1"/>
    <w:rsid w:val="000C0576"/>
    <w:rsid w:val="000C249B"/>
    <w:rsid w:val="000C2863"/>
    <w:rsid w:val="000C7F45"/>
    <w:rsid w:val="000D0E7E"/>
    <w:rsid w:val="000D61E2"/>
    <w:rsid w:val="000D62AB"/>
    <w:rsid w:val="000D6B8A"/>
    <w:rsid w:val="000E1D98"/>
    <w:rsid w:val="000E2D99"/>
    <w:rsid w:val="000E363B"/>
    <w:rsid w:val="000E559D"/>
    <w:rsid w:val="000E73DE"/>
    <w:rsid w:val="000F0332"/>
    <w:rsid w:val="000F0547"/>
    <w:rsid w:val="000F2B9E"/>
    <w:rsid w:val="000F71A7"/>
    <w:rsid w:val="00100D39"/>
    <w:rsid w:val="001046F8"/>
    <w:rsid w:val="00104A16"/>
    <w:rsid w:val="00106A94"/>
    <w:rsid w:val="00110562"/>
    <w:rsid w:val="00111554"/>
    <w:rsid w:val="00111DFD"/>
    <w:rsid w:val="00115A00"/>
    <w:rsid w:val="00115BD6"/>
    <w:rsid w:val="00115DBF"/>
    <w:rsid w:val="00117A0A"/>
    <w:rsid w:val="00122DA4"/>
    <w:rsid w:val="00124283"/>
    <w:rsid w:val="00125623"/>
    <w:rsid w:val="00127BC3"/>
    <w:rsid w:val="001303B6"/>
    <w:rsid w:val="001315F0"/>
    <w:rsid w:val="001338A6"/>
    <w:rsid w:val="001358FD"/>
    <w:rsid w:val="00135E3C"/>
    <w:rsid w:val="00135F53"/>
    <w:rsid w:val="0013687E"/>
    <w:rsid w:val="001374BA"/>
    <w:rsid w:val="00137EA0"/>
    <w:rsid w:val="00142B70"/>
    <w:rsid w:val="00142E85"/>
    <w:rsid w:val="00143272"/>
    <w:rsid w:val="00145FC5"/>
    <w:rsid w:val="001464CA"/>
    <w:rsid w:val="0015064A"/>
    <w:rsid w:val="00150B31"/>
    <w:rsid w:val="00150B6F"/>
    <w:rsid w:val="00152781"/>
    <w:rsid w:val="00153418"/>
    <w:rsid w:val="00160095"/>
    <w:rsid w:val="001623E6"/>
    <w:rsid w:val="001625E9"/>
    <w:rsid w:val="0016331A"/>
    <w:rsid w:val="0016395C"/>
    <w:rsid w:val="001703C8"/>
    <w:rsid w:val="001711C6"/>
    <w:rsid w:val="001718F8"/>
    <w:rsid w:val="00172432"/>
    <w:rsid w:val="00172A27"/>
    <w:rsid w:val="00174C10"/>
    <w:rsid w:val="001774A7"/>
    <w:rsid w:val="00181843"/>
    <w:rsid w:val="0018207D"/>
    <w:rsid w:val="0018558F"/>
    <w:rsid w:val="00186D59"/>
    <w:rsid w:val="00191980"/>
    <w:rsid w:val="00194B2E"/>
    <w:rsid w:val="001A0F18"/>
    <w:rsid w:val="001A12BC"/>
    <w:rsid w:val="001A3BDB"/>
    <w:rsid w:val="001A587B"/>
    <w:rsid w:val="001B12C4"/>
    <w:rsid w:val="001B1BAF"/>
    <w:rsid w:val="001B2614"/>
    <w:rsid w:val="001B5778"/>
    <w:rsid w:val="001C0EF3"/>
    <w:rsid w:val="001C361F"/>
    <w:rsid w:val="001C5EB6"/>
    <w:rsid w:val="001D12F5"/>
    <w:rsid w:val="001D2BB9"/>
    <w:rsid w:val="001D2CB4"/>
    <w:rsid w:val="001D68FA"/>
    <w:rsid w:val="001D6B0C"/>
    <w:rsid w:val="001E0DF9"/>
    <w:rsid w:val="001E19FD"/>
    <w:rsid w:val="001E2A71"/>
    <w:rsid w:val="001E3EC1"/>
    <w:rsid w:val="001E4EA0"/>
    <w:rsid w:val="001F1DD9"/>
    <w:rsid w:val="001F4C1E"/>
    <w:rsid w:val="001F4D76"/>
    <w:rsid w:val="001F61C7"/>
    <w:rsid w:val="001F6CF0"/>
    <w:rsid w:val="002047D7"/>
    <w:rsid w:val="00204BD7"/>
    <w:rsid w:val="00206812"/>
    <w:rsid w:val="00210C3B"/>
    <w:rsid w:val="00213221"/>
    <w:rsid w:val="00213251"/>
    <w:rsid w:val="002132DB"/>
    <w:rsid w:val="0021494D"/>
    <w:rsid w:val="00214986"/>
    <w:rsid w:val="00214F1E"/>
    <w:rsid w:val="00221B8B"/>
    <w:rsid w:val="002220B2"/>
    <w:rsid w:val="0022689D"/>
    <w:rsid w:val="00233BDF"/>
    <w:rsid w:val="0023416A"/>
    <w:rsid w:val="00235D78"/>
    <w:rsid w:val="00240695"/>
    <w:rsid w:val="002432AB"/>
    <w:rsid w:val="00243D73"/>
    <w:rsid w:val="00244132"/>
    <w:rsid w:val="00244D4F"/>
    <w:rsid w:val="002454B7"/>
    <w:rsid w:val="00247ADA"/>
    <w:rsid w:val="00250504"/>
    <w:rsid w:val="00251774"/>
    <w:rsid w:val="0025765E"/>
    <w:rsid w:val="00262AC1"/>
    <w:rsid w:val="00266449"/>
    <w:rsid w:val="00266A31"/>
    <w:rsid w:val="002703E2"/>
    <w:rsid w:val="00274F49"/>
    <w:rsid w:val="00284614"/>
    <w:rsid w:val="00284861"/>
    <w:rsid w:val="00285893"/>
    <w:rsid w:val="00285910"/>
    <w:rsid w:val="00292205"/>
    <w:rsid w:val="002951AE"/>
    <w:rsid w:val="002A05EB"/>
    <w:rsid w:val="002A09B0"/>
    <w:rsid w:val="002A23E7"/>
    <w:rsid w:val="002A46EF"/>
    <w:rsid w:val="002A66A1"/>
    <w:rsid w:val="002B31EA"/>
    <w:rsid w:val="002B5B7D"/>
    <w:rsid w:val="002C0878"/>
    <w:rsid w:val="002C4E42"/>
    <w:rsid w:val="002C7861"/>
    <w:rsid w:val="002D0F41"/>
    <w:rsid w:val="002E042B"/>
    <w:rsid w:val="002E0C63"/>
    <w:rsid w:val="002E2BD1"/>
    <w:rsid w:val="002E39A3"/>
    <w:rsid w:val="002E4122"/>
    <w:rsid w:val="002F03A1"/>
    <w:rsid w:val="002F0F87"/>
    <w:rsid w:val="002F2063"/>
    <w:rsid w:val="002F5201"/>
    <w:rsid w:val="0030075E"/>
    <w:rsid w:val="00301F3B"/>
    <w:rsid w:val="003024C5"/>
    <w:rsid w:val="00302934"/>
    <w:rsid w:val="00302D9D"/>
    <w:rsid w:val="00304F44"/>
    <w:rsid w:val="003057FD"/>
    <w:rsid w:val="00306E70"/>
    <w:rsid w:val="00311F1D"/>
    <w:rsid w:val="003121A4"/>
    <w:rsid w:val="00313E91"/>
    <w:rsid w:val="003214BE"/>
    <w:rsid w:val="0032524E"/>
    <w:rsid w:val="00326036"/>
    <w:rsid w:val="0032686F"/>
    <w:rsid w:val="003319A7"/>
    <w:rsid w:val="00332E1D"/>
    <w:rsid w:val="00336671"/>
    <w:rsid w:val="00342754"/>
    <w:rsid w:val="00342BEF"/>
    <w:rsid w:val="00343CFB"/>
    <w:rsid w:val="003440E0"/>
    <w:rsid w:val="0034432E"/>
    <w:rsid w:val="003448F9"/>
    <w:rsid w:val="0034507F"/>
    <w:rsid w:val="003503DE"/>
    <w:rsid w:val="003515C9"/>
    <w:rsid w:val="00353278"/>
    <w:rsid w:val="00355DC3"/>
    <w:rsid w:val="00362FAA"/>
    <w:rsid w:val="0036325E"/>
    <w:rsid w:val="00363486"/>
    <w:rsid w:val="003634BC"/>
    <w:rsid w:val="00366E75"/>
    <w:rsid w:val="00367C41"/>
    <w:rsid w:val="0037432B"/>
    <w:rsid w:val="00374CAC"/>
    <w:rsid w:val="00377F05"/>
    <w:rsid w:val="00383734"/>
    <w:rsid w:val="00383C16"/>
    <w:rsid w:val="00384EB2"/>
    <w:rsid w:val="00384FC4"/>
    <w:rsid w:val="00394773"/>
    <w:rsid w:val="003947AC"/>
    <w:rsid w:val="003948EC"/>
    <w:rsid w:val="00396DF7"/>
    <w:rsid w:val="00397FCD"/>
    <w:rsid w:val="003A0756"/>
    <w:rsid w:val="003A16C3"/>
    <w:rsid w:val="003A4A4B"/>
    <w:rsid w:val="003A55A7"/>
    <w:rsid w:val="003A6133"/>
    <w:rsid w:val="003B36EE"/>
    <w:rsid w:val="003B6E36"/>
    <w:rsid w:val="003C0FAD"/>
    <w:rsid w:val="003C483C"/>
    <w:rsid w:val="003C641E"/>
    <w:rsid w:val="003C763A"/>
    <w:rsid w:val="003D16AC"/>
    <w:rsid w:val="003D1C34"/>
    <w:rsid w:val="003D4316"/>
    <w:rsid w:val="003D559E"/>
    <w:rsid w:val="003D5F83"/>
    <w:rsid w:val="003D6BD7"/>
    <w:rsid w:val="003E00DD"/>
    <w:rsid w:val="003E080C"/>
    <w:rsid w:val="003E0964"/>
    <w:rsid w:val="003E5277"/>
    <w:rsid w:val="003E5563"/>
    <w:rsid w:val="003E6E8F"/>
    <w:rsid w:val="003F0630"/>
    <w:rsid w:val="003F2E00"/>
    <w:rsid w:val="003F44F2"/>
    <w:rsid w:val="00400DED"/>
    <w:rsid w:val="004043E0"/>
    <w:rsid w:val="00405BFF"/>
    <w:rsid w:val="00406016"/>
    <w:rsid w:val="00406876"/>
    <w:rsid w:val="00407ADC"/>
    <w:rsid w:val="00410524"/>
    <w:rsid w:val="0041448C"/>
    <w:rsid w:val="0041472D"/>
    <w:rsid w:val="0041576E"/>
    <w:rsid w:val="00421749"/>
    <w:rsid w:val="00421BCB"/>
    <w:rsid w:val="00425A44"/>
    <w:rsid w:val="004265CB"/>
    <w:rsid w:val="00430D1B"/>
    <w:rsid w:val="00431568"/>
    <w:rsid w:val="004377AF"/>
    <w:rsid w:val="00443DCE"/>
    <w:rsid w:val="00451BA3"/>
    <w:rsid w:val="00451EA2"/>
    <w:rsid w:val="0045248F"/>
    <w:rsid w:val="00461432"/>
    <w:rsid w:val="00462EB7"/>
    <w:rsid w:val="00465388"/>
    <w:rsid w:val="00466A70"/>
    <w:rsid w:val="00470230"/>
    <w:rsid w:val="00472B9D"/>
    <w:rsid w:val="004756D8"/>
    <w:rsid w:val="00481DE8"/>
    <w:rsid w:val="00481F48"/>
    <w:rsid w:val="00482364"/>
    <w:rsid w:val="004830F0"/>
    <w:rsid w:val="00487E16"/>
    <w:rsid w:val="00487F94"/>
    <w:rsid w:val="00491BBE"/>
    <w:rsid w:val="00493290"/>
    <w:rsid w:val="004A1F66"/>
    <w:rsid w:val="004A788D"/>
    <w:rsid w:val="004B2B21"/>
    <w:rsid w:val="004B7AE5"/>
    <w:rsid w:val="004C2416"/>
    <w:rsid w:val="004C3259"/>
    <w:rsid w:val="004C337D"/>
    <w:rsid w:val="004C4DCF"/>
    <w:rsid w:val="004C5FFE"/>
    <w:rsid w:val="004D5EC1"/>
    <w:rsid w:val="004D7437"/>
    <w:rsid w:val="004E00F7"/>
    <w:rsid w:val="004E05C0"/>
    <w:rsid w:val="004E7A94"/>
    <w:rsid w:val="004F0791"/>
    <w:rsid w:val="004F111E"/>
    <w:rsid w:val="004F1B09"/>
    <w:rsid w:val="004F24E7"/>
    <w:rsid w:val="004F3A6C"/>
    <w:rsid w:val="004F4A08"/>
    <w:rsid w:val="004F7B7C"/>
    <w:rsid w:val="00500C80"/>
    <w:rsid w:val="00502A65"/>
    <w:rsid w:val="00502DA9"/>
    <w:rsid w:val="00505B9F"/>
    <w:rsid w:val="00506F76"/>
    <w:rsid w:val="005071E9"/>
    <w:rsid w:val="00511835"/>
    <w:rsid w:val="00511A6A"/>
    <w:rsid w:val="005133C6"/>
    <w:rsid w:val="00513904"/>
    <w:rsid w:val="00513BAF"/>
    <w:rsid w:val="00514141"/>
    <w:rsid w:val="00515BE2"/>
    <w:rsid w:val="0052025E"/>
    <w:rsid w:val="00520E55"/>
    <w:rsid w:val="005217C1"/>
    <w:rsid w:val="00523204"/>
    <w:rsid w:val="00523455"/>
    <w:rsid w:val="005234D8"/>
    <w:rsid w:val="00527E2E"/>
    <w:rsid w:val="00533758"/>
    <w:rsid w:val="005348F1"/>
    <w:rsid w:val="00535591"/>
    <w:rsid w:val="00541301"/>
    <w:rsid w:val="005427FC"/>
    <w:rsid w:val="00543574"/>
    <w:rsid w:val="00545F06"/>
    <w:rsid w:val="00551418"/>
    <w:rsid w:val="00555446"/>
    <w:rsid w:val="00560305"/>
    <w:rsid w:val="005615FC"/>
    <w:rsid w:val="0056312D"/>
    <w:rsid w:val="00564249"/>
    <w:rsid w:val="00566493"/>
    <w:rsid w:val="00570170"/>
    <w:rsid w:val="005740EA"/>
    <w:rsid w:val="00585B27"/>
    <w:rsid w:val="00595027"/>
    <w:rsid w:val="005A025E"/>
    <w:rsid w:val="005A02FF"/>
    <w:rsid w:val="005A4782"/>
    <w:rsid w:val="005A4AAF"/>
    <w:rsid w:val="005A6678"/>
    <w:rsid w:val="005A6830"/>
    <w:rsid w:val="005A6AE9"/>
    <w:rsid w:val="005A7F9D"/>
    <w:rsid w:val="005B0225"/>
    <w:rsid w:val="005B0B88"/>
    <w:rsid w:val="005B1BDB"/>
    <w:rsid w:val="005B6CB6"/>
    <w:rsid w:val="005C0258"/>
    <w:rsid w:val="005C2E27"/>
    <w:rsid w:val="005C3081"/>
    <w:rsid w:val="005C3731"/>
    <w:rsid w:val="005C4589"/>
    <w:rsid w:val="005D568F"/>
    <w:rsid w:val="005D58A8"/>
    <w:rsid w:val="005E1C38"/>
    <w:rsid w:val="005E4D71"/>
    <w:rsid w:val="005E5AFA"/>
    <w:rsid w:val="005F4BA4"/>
    <w:rsid w:val="005F579D"/>
    <w:rsid w:val="005F584D"/>
    <w:rsid w:val="005F5BE5"/>
    <w:rsid w:val="005F7B2F"/>
    <w:rsid w:val="0060191C"/>
    <w:rsid w:val="00602B12"/>
    <w:rsid w:val="006053F4"/>
    <w:rsid w:val="00605CF9"/>
    <w:rsid w:val="00607A8B"/>
    <w:rsid w:val="00610E44"/>
    <w:rsid w:val="00611E45"/>
    <w:rsid w:val="00615201"/>
    <w:rsid w:val="00623AAD"/>
    <w:rsid w:val="00630234"/>
    <w:rsid w:val="00630CA7"/>
    <w:rsid w:val="00631C9F"/>
    <w:rsid w:val="006332CA"/>
    <w:rsid w:val="00634E8D"/>
    <w:rsid w:val="006357AF"/>
    <w:rsid w:val="006376F7"/>
    <w:rsid w:val="0064102B"/>
    <w:rsid w:val="0064348B"/>
    <w:rsid w:val="00643499"/>
    <w:rsid w:val="0064585C"/>
    <w:rsid w:val="00646041"/>
    <w:rsid w:val="00650326"/>
    <w:rsid w:val="0065095F"/>
    <w:rsid w:val="00651849"/>
    <w:rsid w:val="00652220"/>
    <w:rsid w:val="00653DEF"/>
    <w:rsid w:val="006541DE"/>
    <w:rsid w:val="0065492C"/>
    <w:rsid w:val="00655806"/>
    <w:rsid w:val="006601AA"/>
    <w:rsid w:val="00662B17"/>
    <w:rsid w:val="00663471"/>
    <w:rsid w:val="00664675"/>
    <w:rsid w:val="00665A56"/>
    <w:rsid w:val="006661BB"/>
    <w:rsid w:val="0066692E"/>
    <w:rsid w:val="006701EA"/>
    <w:rsid w:val="00670660"/>
    <w:rsid w:val="00671B54"/>
    <w:rsid w:val="00672314"/>
    <w:rsid w:val="006809F1"/>
    <w:rsid w:val="00680DDC"/>
    <w:rsid w:val="00682EB7"/>
    <w:rsid w:val="00685C65"/>
    <w:rsid w:val="00685F29"/>
    <w:rsid w:val="00690CA4"/>
    <w:rsid w:val="0069141F"/>
    <w:rsid w:val="00691B3E"/>
    <w:rsid w:val="00693578"/>
    <w:rsid w:val="0069601C"/>
    <w:rsid w:val="006964DD"/>
    <w:rsid w:val="00697A3E"/>
    <w:rsid w:val="006A02D5"/>
    <w:rsid w:val="006A37BD"/>
    <w:rsid w:val="006A3888"/>
    <w:rsid w:val="006A70A4"/>
    <w:rsid w:val="006B1EF7"/>
    <w:rsid w:val="006B350F"/>
    <w:rsid w:val="006B7CEC"/>
    <w:rsid w:val="006C2243"/>
    <w:rsid w:val="006C33E2"/>
    <w:rsid w:val="006C6B08"/>
    <w:rsid w:val="006D070D"/>
    <w:rsid w:val="006D1285"/>
    <w:rsid w:val="006D153B"/>
    <w:rsid w:val="006D2718"/>
    <w:rsid w:val="006E08A0"/>
    <w:rsid w:val="006E428B"/>
    <w:rsid w:val="006E42FB"/>
    <w:rsid w:val="006E4344"/>
    <w:rsid w:val="006E4A75"/>
    <w:rsid w:val="006E6F0A"/>
    <w:rsid w:val="006F2D85"/>
    <w:rsid w:val="006F3AB1"/>
    <w:rsid w:val="006F3C6B"/>
    <w:rsid w:val="006F5A09"/>
    <w:rsid w:val="006F5BC7"/>
    <w:rsid w:val="006F6D62"/>
    <w:rsid w:val="006F7EFB"/>
    <w:rsid w:val="0070095F"/>
    <w:rsid w:val="00704EA6"/>
    <w:rsid w:val="00705070"/>
    <w:rsid w:val="00705396"/>
    <w:rsid w:val="00705B78"/>
    <w:rsid w:val="00706CF5"/>
    <w:rsid w:val="00707EF6"/>
    <w:rsid w:val="007104DE"/>
    <w:rsid w:val="0071127D"/>
    <w:rsid w:val="00714E3A"/>
    <w:rsid w:val="00715D38"/>
    <w:rsid w:val="00716086"/>
    <w:rsid w:val="0071617B"/>
    <w:rsid w:val="007200B1"/>
    <w:rsid w:val="0072026F"/>
    <w:rsid w:val="00721CEE"/>
    <w:rsid w:val="00723A19"/>
    <w:rsid w:val="007254D3"/>
    <w:rsid w:val="00725A33"/>
    <w:rsid w:val="00726FDB"/>
    <w:rsid w:val="007276F1"/>
    <w:rsid w:val="00727952"/>
    <w:rsid w:val="00730076"/>
    <w:rsid w:val="0073287A"/>
    <w:rsid w:val="007346CC"/>
    <w:rsid w:val="00736650"/>
    <w:rsid w:val="00736B4F"/>
    <w:rsid w:val="00743297"/>
    <w:rsid w:val="007434CE"/>
    <w:rsid w:val="00744A0D"/>
    <w:rsid w:val="00746366"/>
    <w:rsid w:val="0074782E"/>
    <w:rsid w:val="00747DC5"/>
    <w:rsid w:val="00750285"/>
    <w:rsid w:val="0075084B"/>
    <w:rsid w:val="00750F16"/>
    <w:rsid w:val="00751DA7"/>
    <w:rsid w:val="00754900"/>
    <w:rsid w:val="00756A6A"/>
    <w:rsid w:val="007576FE"/>
    <w:rsid w:val="00761FE5"/>
    <w:rsid w:val="00762AFD"/>
    <w:rsid w:val="00763B4E"/>
    <w:rsid w:val="007657BA"/>
    <w:rsid w:val="00766E40"/>
    <w:rsid w:val="007678A8"/>
    <w:rsid w:val="007703D7"/>
    <w:rsid w:val="00771094"/>
    <w:rsid w:val="00771B5F"/>
    <w:rsid w:val="00774AFA"/>
    <w:rsid w:val="007757FA"/>
    <w:rsid w:val="0077773B"/>
    <w:rsid w:val="00781434"/>
    <w:rsid w:val="007904DE"/>
    <w:rsid w:val="00791B06"/>
    <w:rsid w:val="00794D16"/>
    <w:rsid w:val="00795958"/>
    <w:rsid w:val="00796B30"/>
    <w:rsid w:val="00797832"/>
    <w:rsid w:val="007A2FBA"/>
    <w:rsid w:val="007A4182"/>
    <w:rsid w:val="007A4A41"/>
    <w:rsid w:val="007A79ED"/>
    <w:rsid w:val="007B18FB"/>
    <w:rsid w:val="007B2E94"/>
    <w:rsid w:val="007B3B0F"/>
    <w:rsid w:val="007B3CE2"/>
    <w:rsid w:val="007B585D"/>
    <w:rsid w:val="007C0878"/>
    <w:rsid w:val="007C152A"/>
    <w:rsid w:val="007C4C74"/>
    <w:rsid w:val="007D07B3"/>
    <w:rsid w:val="007D2BC9"/>
    <w:rsid w:val="007D3F4F"/>
    <w:rsid w:val="007D4595"/>
    <w:rsid w:val="007D4633"/>
    <w:rsid w:val="007D6759"/>
    <w:rsid w:val="007E188B"/>
    <w:rsid w:val="007E2DF0"/>
    <w:rsid w:val="007E3A3E"/>
    <w:rsid w:val="007E4156"/>
    <w:rsid w:val="007E60AD"/>
    <w:rsid w:val="007E7A6B"/>
    <w:rsid w:val="007F1F32"/>
    <w:rsid w:val="007F293D"/>
    <w:rsid w:val="007F3928"/>
    <w:rsid w:val="007F5EC8"/>
    <w:rsid w:val="0080031E"/>
    <w:rsid w:val="00800BB7"/>
    <w:rsid w:val="008024AA"/>
    <w:rsid w:val="00807955"/>
    <w:rsid w:val="00807964"/>
    <w:rsid w:val="00811083"/>
    <w:rsid w:val="00814C04"/>
    <w:rsid w:val="0081557D"/>
    <w:rsid w:val="00817E06"/>
    <w:rsid w:val="008234E8"/>
    <w:rsid w:val="00823F3F"/>
    <w:rsid w:val="00824A4B"/>
    <w:rsid w:val="00834BC6"/>
    <w:rsid w:val="00835532"/>
    <w:rsid w:val="00835BD6"/>
    <w:rsid w:val="00840DB0"/>
    <w:rsid w:val="00841044"/>
    <w:rsid w:val="00843E70"/>
    <w:rsid w:val="008470D5"/>
    <w:rsid w:val="00851F7D"/>
    <w:rsid w:val="00855A88"/>
    <w:rsid w:val="0085743F"/>
    <w:rsid w:val="00860831"/>
    <w:rsid w:val="0086475B"/>
    <w:rsid w:val="008649B4"/>
    <w:rsid w:val="0086535B"/>
    <w:rsid w:val="00866390"/>
    <w:rsid w:val="008663A8"/>
    <w:rsid w:val="0087332C"/>
    <w:rsid w:val="00877E7C"/>
    <w:rsid w:val="00880FE6"/>
    <w:rsid w:val="00881E37"/>
    <w:rsid w:val="00883668"/>
    <w:rsid w:val="0089100C"/>
    <w:rsid w:val="00892FDF"/>
    <w:rsid w:val="0089580F"/>
    <w:rsid w:val="00896909"/>
    <w:rsid w:val="00896FD9"/>
    <w:rsid w:val="008A3C36"/>
    <w:rsid w:val="008A7EAF"/>
    <w:rsid w:val="008B40BF"/>
    <w:rsid w:val="008B4561"/>
    <w:rsid w:val="008B5470"/>
    <w:rsid w:val="008B6430"/>
    <w:rsid w:val="008C070D"/>
    <w:rsid w:val="008C12D5"/>
    <w:rsid w:val="008C1A56"/>
    <w:rsid w:val="008C239A"/>
    <w:rsid w:val="008C2920"/>
    <w:rsid w:val="008C2CEB"/>
    <w:rsid w:val="008D2AB7"/>
    <w:rsid w:val="008D3AD0"/>
    <w:rsid w:val="008D3CAD"/>
    <w:rsid w:val="008E3665"/>
    <w:rsid w:val="008E4085"/>
    <w:rsid w:val="008F26AB"/>
    <w:rsid w:val="008F3E00"/>
    <w:rsid w:val="008F45F5"/>
    <w:rsid w:val="008F4937"/>
    <w:rsid w:val="008F506E"/>
    <w:rsid w:val="00900A47"/>
    <w:rsid w:val="009019E6"/>
    <w:rsid w:val="00901C24"/>
    <w:rsid w:val="00903C98"/>
    <w:rsid w:val="00906B00"/>
    <w:rsid w:val="009074C6"/>
    <w:rsid w:val="0091001D"/>
    <w:rsid w:val="00910BC0"/>
    <w:rsid w:val="00912962"/>
    <w:rsid w:val="009131C7"/>
    <w:rsid w:val="00915869"/>
    <w:rsid w:val="00916A6E"/>
    <w:rsid w:val="00920C30"/>
    <w:rsid w:val="00920DA5"/>
    <w:rsid w:val="00921F43"/>
    <w:rsid w:val="00924A9E"/>
    <w:rsid w:val="00924BCC"/>
    <w:rsid w:val="00925E0F"/>
    <w:rsid w:val="00927844"/>
    <w:rsid w:val="00927CEF"/>
    <w:rsid w:val="009315F5"/>
    <w:rsid w:val="00932B30"/>
    <w:rsid w:val="00933C97"/>
    <w:rsid w:val="00936168"/>
    <w:rsid w:val="00941001"/>
    <w:rsid w:val="00941691"/>
    <w:rsid w:val="00944A72"/>
    <w:rsid w:val="00945408"/>
    <w:rsid w:val="00946EB3"/>
    <w:rsid w:val="009505D0"/>
    <w:rsid w:val="00951BCA"/>
    <w:rsid w:val="009520A6"/>
    <w:rsid w:val="00953B20"/>
    <w:rsid w:val="00954006"/>
    <w:rsid w:val="0095680F"/>
    <w:rsid w:val="0096148A"/>
    <w:rsid w:val="0096344F"/>
    <w:rsid w:val="00963937"/>
    <w:rsid w:val="00963E9F"/>
    <w:rsid w:val="00964775"/>
    <w:rsid w:val="009704FE"/>
    <w:rsid w:val="00970E35"/>
    <w:rsid w:val="00972076"/>
    <w:rsid w:val="00972EDD"/>
    <w:rsid w:val="00974302"/>
    <w:rsid w:val="00975304"/>
    <w:rsid w:val="00976BD2"/>
    <w:rsid w:val="00983B2D"/>
    <w:rsid w:val="00984080"/>
    <w:rsid w:val="00984A37"/>
    <w:rsid w:val="0098546B"/>
    <w:rsid w:val="00986806"/>
    <w:rsid w:val="00991BD9"/>
    <w:rsid w:val="00994AE7"/>
    <w:rsid w:val="00995ED8"/>
    <w:rsid w:val="009A1B77"/>
    <w:rsid w:val="009A284C"/>
    <w:rsid w:val="009A4174"/>
    <w:rsid w:val="009A58EC"/>
    <w:rsid w:val="009A5C91"/>
    <w:rsid w:val="009B0BA0"/>
    <w:rsid w:val="009B1CAE"/>
    <w:rsid w:val="009B360A"/>
    <w:rsid w:val="009B3853"/>
    <w:rsid w:val="009B5C97"/>
    <w:rsid w:val="009B5D9F"/>
    <w:rsid w:val="009B6144"/>
    <w:rsid w:val="009B73D0"/>
    <w:rsid w:val="009C527F"/>
    <w:rsid w:val="009C5347"/>
    <w:rsid w:val="009C69B0"/>
    <w:rsid w:val="009C77D4"/>
    <w:rsid w:val="009D1FD9"/>
    <w:rsid w:val="009D5DF7"/>
    <w:rsid w:val="009D7E8D"/>
    <w:rsid w:val="009E4B93"/>
    <w:rsid w:val="009E4BDF"/>
    <w:rsid w:val="009E642F"/>
    <w:rsid w:val="009F388F"/>
    <w:rsid w:val="009F3A09"/>
    <w:rsid w:val="009F3C0C"/>
    <w:rsid w:val="009F6EAB"/>
    <w:rsid w:val="009F780B"/>
    <w:rsid w:val="009F7A63"/>
    <w:rsid w:val="00A00BAA"/>
    <w:rsid w:val="00A030E4"/>
    <w:rsid w:val="00A05A48"/>
    <w:rsid w:val="00A06FC2"/>
    <w:rsid w:val="00A10211"/>
    <w:rsid w:val="00A118E1"/>
    <w:rsid w:val="00A12910"/>
    <w:rsid w:val="00A148BA"/>
    <w:rsid w:val="00A15E05"/>
    <w:rsid w:val="00A15F2A"/>
    <w:rsid w:val="00A1721D"/>
    <w:rsid w:val="00A17701"/>
    <w:rsid w:val="00A21908"/>
    <w:rsid w:val="00A22415"/>
    <w:rsid w:val="00A249D7"/>
    <w:rsid w:val="00A26CBF"/>
    <w:rsid w:val="00A43C72"/>
    <w:rsid w:val="00A455A8"/>
    <w:rsid w:val="00A505A8"/>
    <w:rsid w:val="00A52697"/>
    <w:rsid w:val="00A527F7"/>
    <w:rsid w:val="00A54186"/>
    <w:rsid w:val="00A55930"/>
    <w:rsid w:val="00A62959"/>
    <w:rsid w:val="00A64656"/>
    <w:rsid w:val="00A67B2A"/>
    <w:rsid w:val="00A72123"/>
    <w:rsid w:val="00A7373D"/>
    <w:rsid w:val="00A74829"/>
    <w:rsid w:val="00A75F88"/>
    <w:rsid w:val="00A77FC7"/>
    <w:rsid w:val="00A806D5"/>
    <w:rsid w:val="00A821F3"/>
    <w:rsid w:val="00A823BA"/>
    <w:rsid w:val="00A83133"/>
    <w:rsid w:val="00A84C7C"/>
    <w:rsid w:val="00A86D64"/>
    <w:rsid w:val="00A91A80"/>
    <w:rsid w:val="00A93103"/>
    <w:rsid w:val="00A93302"/>
    <w:rsid w:val="00A93B5F"/>
    <w:rsid w:val="00A97C63"/>
    <w:rsid w:val="00AA107A"/>
    <w:rsid w:val="00AA527A"/>
    <w:rsid w:val="00AA602B"/>
    <w:rsid w:val="00AA60E0"/>
    <w:rsid w:val="00AA7276"/>
    <w:rsid w:val="00AB3049"/>
    <w:rsid w:val="00AB54F5"/>
    <w:rsid w:val="00AB7DD8"/>
    <w:rsid w:val="00AC042C"/>
    <w:rsid w:val="00AC10A0"/>
    <w:rsid w:val="00AC442A"/>
    <w:rsid w:val="00AC6647"/>
    <w:rsid w:val="00AC7B4E"/>
    <w:rsid w:val="00AD043C"/>
    <w:rsid w:val="00AD0A4E"/>
    <w:rsid w:val="00AD0AE5"/>
    <w:rsid w:val="00AD2847"/>
    <w:rsid w:val="00AD3790"/>
    <w:rsid w:val="00AD431F"/>
    <w:rsid w:val="00AD4AF6"/>
    <w:rsid w:val="00AD590F"/>
    <w:rsid w:val="00AE0C52"/>
    <w:rsid w:val="00AE175D"/>
    <w:rsid w:val="00AE1B78"/>
    <w:rsid w:val="00AE5B7E"/>
    <w:rsid w:val="00AF27B6"/>
    <w:rsid w:val="00AF50BE"/>
    <w:rsid w:val="00B00D48"/>
    <w:rsid w:val="00B01736"/>
    <w:rsid w:val="00B01DB0"/>
    <w:rsid w:val="00B01E8E"/>
    <w:rsid w:val="00B03833"/>
    <w:rsid w:val="00B04A2A"/>
    <w:rsid w:val="00B0509C"/>
    <w:rsid w:val="00B055DF"/>
    <w:rsid w:val="00B0712F"/>
    <w:rsid w:val="00B128D1"/>
    <w:rsid w:val="00B145D7"/>
    <w:rsid w:val="00B21494"/>
    <w:rsid w:val="00B21C2E"/>
    <w:rsid w:val="00B221D0"/>
    <w:rsid w:val="00B22B07"/>
    <w:rsid w:val="00B232EF"/>
    <w:rsid w:val="00B25BC0"/>
    <w:rsid w:val="00B27343"/>
    <w:rsid w:val="00B3046A"/>
    <w:rsid w:val="00B30C40"/>
    <w:rsid w:val="00B3191B"/>
    <w:rsid w:val="00B342B4"/>
    <w:rsid w:val="00B36AC2"/>
    <w:rsid w:val="00B40E2A"/>
    <w:rsid w:val="00B433DE"/>
    <w:rsid w:val="00B43D61"/>
    <w:rsid w:val="00B44535"/>
    <w:rsid w:val="00B47504"/>
    <w:rsid w:val="00B510D0"/>
    <w:rsid w:val="00B52B26"/>
    <w:rsid w:val="00B533AD"/>
    <w:rsid w:val="00B53C29"/>
    <w:rsid w:val="00B652BB"/>
    <w:rsid w:val="00B667C8"/>
    <w:rsid w:val="00B6761B"/>
    <w:rsid w:val="00B72F81"/>
    <w:rsid w:val="00B7324C"/>
    <w:rsid w:val="00B74A64"/>
    <w:rsid w:val="00B76434"/>
    <w:rsid w:val="00B77A14"/>
    <w:rsid w:val="00B86994"/>
    <w:rsid w:val="00B90F8E"/>
    <w:rsid w:val="00B91A89"/>
    <w:rsid w:val="00B937C7"/>
    <w:rsid w:val="00B93D7D"/>
    <w:rsid w:val="00B95F54"/>
    <w:rsid w:val="00B96BA4"/>
    <w:rsid w:val="00BA4A29"/>
    <w:rsid w:val="00BA5067"/>
    <w:rsid w:val="00BA6653"/>
    <w:rsid w:val="00BB0A00"/>
    <w:rsid w:val="00BC31C4"/>
    <w:rsid w:val="00BC4BF3"/>
    <w:rsid w:val="00BC548A"/>
    <w:rsid w:val="00BC54E0"/>
    <w:rsid w:val="00BC58FE"/>
    <w:rsid w:val="00BD1544"/>
    <w:rsid w:val="00BD2CF4"/>
    <w:rsid w:val="00BD5E6D"/>
    <w:rsid w:val="00BD607E"/>
    <w:rsid w:val="00BE0581"/>
    <w:rsid w:val="00BE0E48"/>
    <w:rsid w:val="00BF314B"/>
    <w:rsid w:val="00BF32FF"/>
    <w:rsid w:val="00BF4873"/>
    <w:rsid w:val="00BF4E99"/>
    <w:rsid w:val="00BF5404"/>
    <w:rsid w:val="00BF5BDF"/>
    <w:rsid w:val="00BF5C50"/>
    <w:rsid w:val="00C05670"/>
    <w:rsid w:val="00C05F22"/>
    <w:rsid w:val="00C06F1D"/>
    <w:rsid w:val="00C10656"/>
    <w:rsid w:val="00C11763"/>
    <w:rsid w:val="00C151B3"/>
    <w:rsid w:val="00C22487"/>
    <w:rsid w:val="00C24199"/>
    <w:rsid w:val="00C308F8"/>
    <w:rsid w:val="00C30D85"/>
    <w:rsid w:val="00C36D02"/>
    <w:rsid w:val="00C377DD"/>
    <w:rsid w:val="00C41ACC"/>
    <w:rsid w:val="00C4445E"/>
    <w:rsid w:val="00C446D5"/>
    <w:rsid w:val="00C46002"/>
    <w:rsid w:val="00C53D9F"/>
    <w:rsid w:val="00C56AB5"/>
    <w:rsid w:val="00C578DA"/>
    <w:rsid w:val="00C6268C"/>
    <w:rsid w:val="00C6350C"/>
    <w:rsid w:val="00C65D9D"/>
    <w:rsid w:val="00C66DAE"/>
    <w:rsid w:val="00C67BC8"/>
    <w:rsid w:val="00C709C6"/>
    <w:rsid w:val="00C72FB6"/>
    <w:rsid w:val="00C73A4F"/>
    <w:rsid w:val="00C7554E"/>
    <w:rsid w:val="00C850CC"/>
    <w:rsid w:val="00C850D0"/>
    <w:rsid w:val="00C85B0F"/>
    <w:rsid w:val="00C86D09"/>
    <w:rsid w:val="00C877B9"/>
    <w:rsid w:val="00C92871"/>
    <w:rsid w:val="00C92DE4"/>
    <w:rsid w:val="00C966B8"/>
    <w:rsid w:val="00CA3195"/>
    <w:rsid w:val="00CB4296"/>
    <w:rsid w:val="00CB6C62"/>
    <w:rsid w:val="00CC08E1"/>
    <w:rsid w:val="00CC0DE9"/>
    <w:rsid w:val="00CC26F4"/>
    <w:rsid w:val="00CC3139"/>
    <w:rsid w:val="00CC649F"/>
    <w:rsid w:val="00CC7B1D"/>
    <w:rsid w:val="00CD1D83"/>
    <w:rsid w:val="00CD3B15"/>
    <w:rsid w:val="00CD4681"/>
    <w:rsid w:val="00CD4876"/>
    <w:rsid w:val="00CD54B6"/>
    <w:rsid w:val="00CD76A1"/>
    <w:rsid w:val="00CE1A35"/>
    <w:rsid w:val="00CE2F24"/>
    <w:rsid w:val="00CE3BFF"/>
    <w:rsid w:val="00CE3D04"/>
    <w:rsid w:val="00CE511E"/>
    <w:rsid w:val="00CE6B21"/>
    <w:rsid w:val="00CE73AE"/>
    <w:rsid w:val="00CE7D29"/>
    <w:rsid w:val="00CF01A1"/>
    <w:rsid w:val="00CF136E"/>
    <w:rsid w:val="00CF17A0"/>
    <w:rsid w:val="00CF465C"/>
    <w:rsid w:val="00CF7137"/>
    <w:rsid w:val="00D00EBE"/>
    <w:rsid w:val="00D018AB"/>
    <w:rsid w:val="00D0510E"/>
    <w:rsid w:val="00D06797"/>
    <w:rsid w:val="00D105E1"/>
    <w:rsid w:val="00D12372"/>
    <w:rsid w:val="00D22029"/>
    <w:rsid w:val="00D22CD9"/>
    <w:rsid w:val="00D25EA5"/>
    <w:rsid w:val="00D26D19"/>
    <w:rsid w:val="00D27807"/>
    <w:rsid w:val="00D27907"/>
    <w:rsid w:val="00D300C4"/>
    <w:rsid w:val="00D3202B"/>
    <w:rsid w:val="00D32647"/>
    <w:rsid w:val="00D32C92"/>
    <w:rsid w:val="00D335DB"/>
    <w:rsid w:val="00D34AF7"/>
    <w:rsid w:val="00D35233"/>
    <w:rsid w:val="00D361AD"/>
    <w:rsid w:val="00D37085"/>
    <w:rsid w:val="00D421FF"/>
    <w:rsid w:val="00D43907"/>
    <w:rsid w:val="00D44985"/>
    <w:rsid w:val="00D45488"/>
    <w:rsid w:val="00D461FB"/>
    <w:rsid w:val="00D46C79"/>
    <w:rsid w:val="00D4750D"/>
    <w:rsid w:val="00D47FF2"/>
    <w:rsid w:val="00D51F41"/>
    <w:rsid w:val="00D5410F"/>
    <w:rsid w:val="00D54DAD"/>
    <w:rsid w:val="00D56DAB"/>
    <w:rsid w:val="00D57FF4"/>
    <w:rsid w:val="00D61AAB"/>
    <w:rsid w:val="00D7008E"/>
    <w:rsid w:val="00D70DD5"/>
    <w:rsid w:val="00D70ECA"/>
    <w:rsid w:val="00D714A6"/>
    <w:rsid w:val="00D71BEF"/>
    <w:rsid w:val="00D761D2"/>
    <w:rsid w:val="00D81370"/>
    <w:rsid w:val="00D81C69"/>
    <w:rsid w:val="00D842C2"/>
    <w:rsid w:val="00D873E5"/>
    <w:rsid w:val="00D87780"/>
    <w:rsid w:val="00D87A39"/>
    <w:rsid w:val="00D91289"/>
    <w:rsid w:val="00D92EA2"/>
    <w:rsid w:val="00DA0702"/>
    <w:rsid w:val="00DA1673"/>
    <w:rsid w:val="00DA49FF"/>
    <w:rsid w:val="00DA4D67"/>
    <w:rsid w:val="00DB0D28"/>
    <w:rsid w:val="00DB1323"/>
    <w:rsid w:val="00DB61DF"/>
    <w:rsid w:val="00DB750E"/>
    <w:rsid w:val="00DC2B26"/>
    <w:rsid w:val="00DC5943"/>
    <w:rsid w:val="00DC6CF8"/>
    <w:rsid w:val="00DC7272"/>
    <w:rsid w:val="00DD0832"/>
    <w:rsid w:val="00DD1EED"/>
    <w:rsid w:val="00DD494A"/>
    <w:rsid w:val="00DD6E5C"/>
    <w:rsid w:val="00DE28F6"/>
    <w:rsid w:val="00DF1029"/>
    <w:rsid w:val="00DF1C52"/>
    <w:rsid w:val="00DF20C8"/>
    <w:rsid w:val="00E01924"/>
    <w:rsid w:val="00E07EC5"/>
    <w:rsid w:val="00E13860"/>
    <w:rsid w:val="00E14BA4"/>
    <w:rsid w:val="00E21812"/>
    <w:rsid w:val="00E21E7D"/>
    <w:rsid w:val="00E224A0"/>
    <w:rsid w:val="00E2267F"/>
    <w:rsid w:val="00E23924"/>
    <w:rsid w:val="00E26F0C"/>
    <w:rsid w:val="00E31DCB"/>
    <w:rsid w:val="00E32353"/>
    <w:rsid w:val="00E3256D"/>
    <w:rsid w:val="00E33F75"/>
    <w:rsid w:val="00E34C1A"/>
    <w:rsid w:val="00E351B6"/>
    <w:rsid w:val="00E466B5"/>
    <w:rsid w:val="00E46CF4"/>
    <w:rsid w:val="00E472EA"/>
    <w:rsid w:val="00E50ECF"/>
    <w:rsid w:val="00E527E6"/>
    <w:rsid w:val="00E53514"/>
    <w:rsid w:val="00E56428"/>
    <w:rsid w:val="00E568D7"/>
    <w:rsid w:val="00E61313"/>
    <w:rsid w:val="00E635E3"/>
    <w:rsid w:val="00E650BA"/>
    <w:rsid w:val="00E71A96"/>
    <w:rsid w:val="00E7294B"/>
    <w:rsid w:val="00E77AD9"/>
    <w:rsid w:val="00E77D59"/>
    <w:rsid w:val="00E81D30"/>
    <w:rsid w:val="00E85074"/>
    <w:rsid w:val="00E85947"/>
    <w:rsid w:val="00E85967"/>
    <w:rsid w:val="00E86476"/>
    <w:rsid w:val="00E873D9"/>
    <w:rsid w:val="00E9251D"/>
    <w:rsid w:val="00E92821"/>
    <w:rsid w:val="00E94EE9"/>
    <w:rsid w:val="00E97CF9"/>
    <w:rsid w:val="00EA06CB"/>
    <w:rsid w:val="00EA1488"/>
    <w:rsid w:val="00EA20F3"/>
    <w:rsid w:val="00EA5D25"/>
    <w:rsid w:val="00EA67EB"/>
    <w:rsid w:val="00EA7529"/>
    <w:rsid w:val="00EB15B1"/>
    <w:rsid w:val="00EB18FB"/>
    <w:rsid w:val="00EB1957"/>
    <w:rsid w:val="00EB22AD"/>
    <w:rsid w:val="00EB28CE"/>
    <w:rsid w:val="00EB5BBB"/>
    <w:rsid w:val="00EC0222"/>
    <w:rsid w:val="00EC1E7E"/>
    <w:rsid w:val="00EC35D4"/>
    <w:rsid w:val="00EC4FD2"/>
    <w:rsid w:val="00EC58FF"/>
    <w:rsid w:val="00ED334D"/>
    <w:rsid w:val="00ED45EC"/>
    <w:rsid w:val="00ED6ED1"/>
    <w:rsid w:val="00EE1C56"/>
    <w:rsid w:val="00EE2A2D"/>
    <w:rsid w:val="00EE303B"/>
    <w:rsid w:val="00EE491F"/>
    <w:rsid w:val="00EF18E3"/>
    <w:rsid w:val="00EF21BF"/>
    <w:rsid w:val="00EF52C5"/>
    <w:rsid w:val="00EF6CC1"/>
    <w:rsid w:val="00EF7502"/>
    <w:rsid w:val="00F00985"/>
    <w:rsid w:val="00F013E9"/>
    <w:rsid w:val="00F0243B"/>
    <w:rsid w:val="00F049E0"/>
    <w:rsid w:val="00F050CB"/>
    <w:rsid w:val="00F06C43"/>
    <w:rsid w:val="00F10149"/>
    <w:rsid w:val="00F23B15"/>
    <w:rsid w:val="00F248AB"/>
    <w:rsid w:val="00F2646B"/>
    <w:rsid w:val="00F310EA"/>
    <w:rsid w:val="00F314C8"/>
    <w:rsid w:val="00F3350C"/>
    <w:rsid w:val="00F37D78"/>
    <w:rsid w:val="00F40E12"/>
    <w:rsid w:val="00F46B0F"/>
    <w:rsid w:val="00F5219F"/>
    <w:rsid w:val="00F527CA"/>
    <w:rsid w:val="00F52B12"/>
    <w:rsid w:val="00F535B0"/>
    <w:rsid w:val="00F54C44"/>
    <w:rsid w:val="00F5646C"/>
    <w:rsid w:val="00F62BD5"/>
    <w:rsid w:val="00F62FCB"/>
    <w:rsid w:val="00F63809"/>
    <w:rsid w:val="00F648E5"/>
    <w:rsid w:val="00F64E2A"/>
    <w:rsid w:val="00F6523A"/>
    <w:rsid w:val="00F657BD"/>
    <w:rsid w:val="00F65E19"/>
    <w:rsid w:val="00F66196"/>
    <w:rsid w:val="00F67C7C"/>
    <w:rsid w:val="00F67D82"/>
    <w:rsid w:val="00F7061C"/>
    <w:rsid w:val="00F708A5"/>
    <w:rsid w:val="00F719BF"/>
    <w:rsid w:val="00F72B5D"/>
    <w:rsid w:val="00F76AE7"/>
    <w:rsid w:val="00F77A0D"/>
    <w:rsid w:val="00F80B40"/>
    <w:rsid w:val="00F830E9"/>
    <w:rsid w:val="00F858F4"/>
    <w:rsid w:val="00F86A8E"/>
    <w:rsid w:val="00F91D63"/>
    <w:rsid w:val="00F923C0"/>
    <w:rsid w:val="00F95BD7"/>
    <w:rsid w:val="00F975CD"/>
    <w:rsid w:val="00FA0130"/>
    <w:rsid w:val="00FA02B0"/>
    <w:rsid w:val="00FA187B"/>
    <w:rsid w:val="00FA44D5"/>
    <w:rsid w:val="00FA7CE5"/>
    <w:rsid w:val="00FB0D88"/>
    <w:rsid w:val="00FB136F"/>
    <w:rsid w:val="00FB3BA7"/>
    <w:rsid w:val="00FB6779"/>
    <w:rsid w:val="00FB6AE7"/>
    <w:rsid w:val="00FC0124"/>
    <w:rsid w:val="00FC0615"/>
    <w:rsid w:val="00FC5A17"/>
    <w:rsid w:val="00FD093A"/>
    <w:rsid w:val="00FD0D68"/>
    <w:rsid w:val="00FD0E94"/>
    <w:rsid w:val="00FD3299"/>
    <w:rsid w:val="00FD3C37"/>
    <w:rsid w:val="00FD62E3"/>
    <w:rsid w:val="00FE173B"/>
    <w:rsid w:val="00FE3260"/>
    <w:rsid w:val="00FE6A1B"/>
    <w:rsid w:val="00FF1206"/>
    <w:rsid w:val="00FF22CC"/>
    <w:rsid w:val="00FF2CB8"/>
    <w:rsid w:val="00FF3938"/>
    <w:rsid w:val="00FF5263"/>
    <w:rsid w:val="00FF5A9A"/>
    <w:rsid w:val="00FF7351"/>
    <w:rsid w:val="01102028"/>
    <w:rsid w:val="013F75EE"/>
    <w:rsid w:val="014F5647"/>
    <w:rsid w:val="01770ACE"/>
    <w:rsid w:val="01877531"/>
    <w:rsid w:val="01904B3A"/>
    <w:rsid w:val="01AB3074"/>
    <w:rsid w:val="01BB61B6"/>
    <w:rsid w:val="01BF0828"/>
    <w:rsid w:val="02A27F0B"/>
    <w:rsid w:val="02BE4863"/>
    <w:rsid w:val="03017284"/>
    <w:rsid w:val="036134D3"/>
    <w:rsid w:val="036B322E"/>
    <w:rsid w:val="03F06136"/>
    <w:rsid w:val="04375024"/>
    <w:rsid w:val="045647A9"/>
    <w:rsid w:val="048D59A8"/>
    <w:rsid w:val="057331FB"/>
    <w:rsid w:val="05AA48E4"/>
    <w:rsid w:val="05E47575"/>
    <w:rsid w:val="05E64AEE"/>
    <w:rsid w:val="05E747C7"/>
    <w:rsid w:val="06490B3B"/>
    <w:rsid w:val="0662644A"/>
    <w:rsid w:val="06A05089"/>
    <w:rsid w:val="071618E4"/>
    <w:rsid w:val="0716733E"/>
    <w:rsid w:val="07607F8D"/>
    <w:rsid w:val="076677F7"/>
    <w:rsid w:val="07981E86"/>
    <w:rsid w:val="07B6641C"/>
    <w:rsid w:val="07C744BB"/>
    <w:rsid w:val="081B102B"/>
    <w:rsid w:val="085466F8"/>
    <w:rsid w:val="08615788"/>
    <w:rsid w:val="0878244D"/>
    <w:rsid w:val="0886390D"/>
    <w:rsid w:val="08A96618"/>
    <w:rsid w:val="08DA4AF1"/>
    <w:rsid w:val="08DE331E"/>
    <w:rsid w:val="09192816"/>
    <w:rsid w:val="095B355B"/>
    <w:rsid w:val="099E0771"/>
    <w:rsid w:val="09B008C0"/>
    <w:rsid w:val="09BF1E8A"/>
    <w:rsid w:val="0A137633"/>
    <w:rsid w:val="0A1858AC"/>
    <w:rsid w:val="0A3C271C"/>
    <w:rsid w:val="0A7E258E"/>
    <w:rsid w:val="0A8F24B3"/>
    <w:rsid w:val="0B124572"/>
    <w:rsid w:val="0B7770F6"/>
    <w:rsid w:val="0B8946F8"/>
    <w:rsid w:val="0BB05F2E"/>
    <w:rsid w:val="0BC0108B"/>
    <w:rsid w:val="0BC562B1"/>
    <w:rsid w:val="0C30292C"/>
    <w:rsid w:val="0C3650F5"/>
    <w:rsid w:val="0C71773E"/>
    <w:rsid w:val="0C7C770E"/>
    <w:rsid w:val="0C843F67"/>
    <w:rsid w:val="0CD834BF"/>
    <w:rsid w:val="0CF71411"/>
    <w:rsid w:val="0DA27957"/>
    <w:rsid w:val="0DD21426"/>
    <w:rsid w:val="0E0E25C5"/>
    <w:rsid w:val="0E5A1B72"/>
    <w:rsid w:val="0E6F2503"/>
    <w:rsid w:val="0ED51121"/>
    <w:rsid w:val="0EDB6FEB"/>
    <w:rsid w:val="0F30653F"/>
    <w:rsid w:val="0F56537B"/>
    <w:rsid w:val="0FAB5FF7"/>
    <w:rsid w:val="0FF718F3"/>
    <w:rsid w:val="100B5E29"/>
    <w:rsid w:val="10246413"/>
    <w:rsid w:val="1032785A"/>
    <w:rsid w:val="104273B7"/>
    <w:rsid w:val="10A378E3"/>
    <w:rsid w:val="10C579F2"/>
    <w:rsid w:val="11684ABE"/>
    <w:rsid w:val="116917E6"/>
    <w:rsid w:val="116B7930"/>
    <w:rsid w:val="125531AD"/>
    <w:rsid w:val="12FE2FE2"/>
    <w:rsid w:val="13E40E6B"/>
    <w:rsid w:val="143F7BC2"/>
    <w:rsid w:val="1458432E"/>
    <w:rsid w:val="14EC5D05"/>
    <w:rsid w:val="15253DB8"/>
    <w:rsid w:val="153F4327"/>
    <w:rsid w:val="15B60AE0"/>
    <w:rsid w:val="15B765C6"/>
    <w:rsid w:val="162653CE"/>
    <w:rsid w:val="16A83A34"/>
    <w:rsid w:val="1731509C"/>
    <w:rsid w:val="17365201"/>
    <w:rsid w:val="178521EF"/>
    <w:rsid w:val="17F64C22"/>
    <w:rsid w:val="1847324F"/>
    <w:rsid w:val="18646C4E"/>
    <w:rsid w:val="18947690"/>
    <w:rsid w:val="190B2DB4"/>
    <w:rsid w:val="19754FBC"/>
    <w:rsid w:val="19870ED9"/>
    <w:rsid w:val="198A035D"/>
    <w:rsid w:val="19C93372"/>
    <w:rsid w:val="19E40EE4"/>
    <w:rsid w:val="1A7A27EA"/>
    <w:rsid w:val="1A951574"/>
    <w:rsid w:val="1A98388A"/>
    <w:rsid w:val="1AAE4BFB"/>
    <w:rsid w:val="1ADC207E"/>
    <w:rsid w:val="1AE82D02"/>
    <w:rsid w:val="1B1A58A0"/>
    <w:rsid w:val="1BE57403"/>
    <w:rsid w:val="1C357CF6"/>
    <w:rsid w:val="1C4722DE"/>
    <w:rsid w:val="1C473DD4"/>
    <w:rsid w:val="1C7123D9"/>
    <w:rsid w:val="1C7A2EE3"/>
    <w:rsid w:val="1D3C396D"/>
    <w:rsid w:val="1D702900"/>
    <w:rsid w:val="1D8D3990"/>
    <w:rsid w:val="1D8E7083"/>
    <w:rsid w:val="1DF54DAB"/>
    <w:rsid w:val="1E512AA1"/>
    <w:rsid w:val="1E7046BB"/>
    <w:rsid w:val="1EB9556F"/>
    <w:rsid w:val="1F261AE1"/>
    <w:rsid w:val="1F3D7AF1"/>
    <w:rsid w:val="1F445DD5"/>
    <w:rsid w:val="1F694490"/>
    <w:rsid w:val="1FFD10A5"/>
    <w:rsid w:val="20260612"/>
    <w:rsid w:val="20390D36"/>
    <w:rsid w:val="2058313A"/>
    <w:rsid w:val="207352C9"/>
    <w:rsid w:val="20DB50E1"/>
    <w:rsid w:val="215F7749"/>
    <w:rsid w:val="21A7647F"/>
    <w:rsid w:val="21E67BD5"/>
    <w:rsid w:val="21EC351A"/>
    <w:rsid w:val="22405FD7"/>
    <w:rsid w:val="22957BC9"/>
    <w:rsid w:val="231148E4"/>
    <w:rsid w:val="2312685E"/>
    <w:rsid w:val="23163E27"/>
    <w:rsid w:val="23304BBC"/>
    <w:rsid w:val="23386574"/>
    <w:rsid w:val="234835CF"/>
    <w:rsid w:val="2353097B"/>
    <w:rsid w:val="238342E9"/>
    <w:rsid w:val="239670D7"/>
    <w:rsid w:val="23BB4F5B"/>
    <w:rsid w:val="23C10C0F"/>
    <w:rsid w:val="241A1B77"/>
    <w:rsid w:val="244C7142"/>
    <w:rsid w:val="249B00A5"/>
    <w:rsid w:val="2540023B"/>
    <w:rsid w:val="257160EE"/>
    <w:rsid w:val="25797512"/>
    <w:rsid w:val="25CB1871"/>
    <w:rsid w:val="25CE6A7B"/>
    <w:rsid w:val="260E5B0A"/>
    <w:rsid w:val="263A491A"/>
    <w:rsid w:val="264D464E"/>
    <w:rsid w:val="26517F88"/>
    <w:rsid w:val="26BB3CAD"/>
    <w:rsid w:val="270246B6"/>
    <w:rsid w:val="27137593"/>
    <w:rsid w:val="27163B0F"/>
    <w:rsid w:val="281F6039"/>
    <w:rsid w:val="2837298E"/>
    <w:rsid w:val="28895601"/>
    <w:rsid w:val="28E432B2"/>
    <w:rsid w:val="291B489A"/>
    <w:rsid w:val="292875F4"/>
    <w:rsid w:val="29301D5B"/>
    <w:rsid w:val="299B4E03"/>
    <w:rsid w:val="29AE72DA"/>
    <w:rsid w:val="2A1D7576"/>
    <w:rsid w:val="2A340AB7"/>
    <w:rsid w:val="2A820BFD"/>
    <w:rsid w:val="2B5226AE"/>
    <w:rsid w:val="2B5814D9"/>
    <w:rsid w:val="2C146814"/>
    <w:rsid w:val="2C290935"/>
    <w:rsid w:val="2C887B9E"/>
    <w:rsid w:val="2CB2459B"/>
    <w:rsid w:val="2CD5272B"/>
    <w:rsid w:val="2D2C6020"/>
    <w:rsid w:val="2D2E328E"/>
    <w:rsid w:val="2DAF1CA0"/>
    <w:rsid w:val="2DD742B2"/>
    <w:rsid w:val="2DF97C0D"/>
    <w:rsid w:val="2E3F527A"/>
    <w:rsid w:val="2E6F7532"/>
    <w:rsid w:val="2E941C98"/>
    <w:rsid w:val="2F290B54"/>
    <w:rsid w:val="2F3E10F1"/>
    <w:rsid w:val="2F6F2B20"/>
    <w:rsid w:val="2F8E4223"/>
    <w:rsid w:val="2F934B4B"/>
    <w:rsid w:val="2FAF00B6"/>
    <w:rsid w:val="2FB76905"/>
    <w:rsid w:val="2FE910A7"/>
    <w:rsid w:val="2FF61E45"/>
    <w:rsid w:val="301976C4"/>
    <w:rsid w:val="30197C97"/>
    <w:rsid w:val="304C14EC"/>
    <w:rsid w:val="307A7E20"/>
    <w:rsid w:val="30D342E9"/>
    <w:rsid w:val="30D63678"/>
    <w:rsid w:val="30DB3040"/>
    <w:rsid w:val="31192E58"/>
    <w:rsid w:val="31712F8C"/>
    <w:rsid w:val="321A2C00"/>
    <w:rsid w:val="3248779D"/>
    <w:rsid w:val="327472A6"/>
    <w:rsid w:val="32990235"/>
    <w:rsid w:val="32AA2E28"/>
    <w:rsid w:val="32D04890"/>
    <w:rsid w:val="32F1726A"/>
    <w:rsid w:val="32FE3103"/>
    <w:rsid w:val="33493CE4"/>
    <w:rsid w:val="338D4BAE"/>
    <w:rsid w:val="33AE1975"/>
    <w:rsid w:val="33EE3A8C"/>
    <w:rsid w:val="34364FFC"/>
    <w:rsid w:val="3447124C"/>
    <w:rsid w:val="34937FA5"/>
    <w:rsid w:val="34B624E0"/>
    <w:rsid w:val="34C71A6F"/>
    <w:rsid w:val="354D2573"/>
    <w:rsid w:val="35642BA4"/>
    <w:rsid w:val="357666EA"/>
    <w:rsid w:val="35E0680E"/>
    <w:rsid w:val="361A2073"/>
    <w:rsid w:val="36B67FED"/>
    <w:rsid w:val="36BC1F5F"/>
    <w:rsid w:val="37004973"/>
    <w:rsid w:val="37222BC8"/>
    <w:rsid w:val="37AF29E5"/>
    <w:rsid w:val="37F237F9"/>
    <w:rsid w:val="380F3598"/>
    <w:rsid w:val="389052B8"/>
    <w:rsid w:val="38D84535"/>
    <w:rsid w:val="395672CB"/>
    <w:rsid w:val="39A53974"/>
    <w:rsid w:val="39E024FF"/>
    <w:rsid w:val="39F863B7"/>
    <w:rsid w:val="3A334415"/>
    <w:rsid w:val="3A8B591F"/>
    <w:rsid w:val="3A985F6B"/>
    <w:rsid w:val="3B3C0DBA"/>
    <w:rsid w:val="3B4C0CB1"/>
    <w:rsid w:val="3B826D57"/>
    <w:rsid w:val="3BC57A0E"/>
    <w:rsid w:val="3BCA44FB"/>
    <w:rsid w:val="3BE65870"/>
    <w:rsid w:val="3C7145F0"/>
    <w:rsid w:val="3CB7736C"/>
    <w:rsid w:val="3CBD4CB5"/>
    <w:rsid w:val="3D0E4C39"/>
    <w:rsid w:val="3D383EA5"/>
    <w:rsid w:val="3D662D4C"/>
    <w:rsid w:val="3D7FAD51"/>
    <w:rsid w:val="3DA93797"/>
    <w:rsid w:val="3E2D53BC"/>
    <w:rsid w:val="3E3C3B5A"/>
    <w:rsid w:val="3E4820BB"/>
    <w:rsid w:val="3ED122A0"/>
    <w:rsid w:val="3EDA6F09"/>
    <w:rsid w:val="3EDFD165"/>
    <w:rsid w:val="3F3F50BD"/>
    <w:rsid w:val="3FAA135B"/>
    <w:rsid w:val="3FB70595"/>
    <w:rsid w:val="3FF53C7D"/>
    <w:rsid w:val="40AE6ABF"/>
    <w:rsid w:val="40D20EE9"/>
    <w:rsid w:val="40FA44B8"/>
    <w:rsid w:val="4102344A"/>
    <w:rsid w:val="41A02BCA"/>
    <w:rsid w:val="41C5783F"/>
    <w:rsid w:val="421468FB"/>
    <w:rsid w:val="42251668"/>
    <w:rsid w:val="42612869"/>
    <w:rsid w:val="42771E20"/>
    <w:rsid w:val="42A00F7F"/>
    <w:rsid w:val="42B93D5D"/>
    <w:rsid w:val="42BA0FD4"/>
    <w:rsid w:val="42EF5BEF"/>
    <w:rsid w:val="43550B0E"/>
    <w:rsid w:val="44081C3A"/>
    <w:rsid w:val="44764E0C"/>
    <w:rsid w:val="447722C9"/>
    <w:rsid w:val="447D65EE"/>
    <w:rsid w:val="448043FE"/>
    <w:rsid w:val="44A04EE2"/>
    <w:rsid w:val="453B5C7B"/>
    <w:rsid w:val="4599250B"/>
    <w:rsid w:val="45C97C5A"/>
    <w:rsid w:val="460175F1"/>
    <w:rsid w:val="469D0882"/>
    <w:rsid w:val="46F1134A"/>
    <w:rsid w:val="47315AFD"/>
    <w:rsid w:val="476D46F8"/>
    <w:rsid w:val="47A070CE"/>
    <w:rsid w:val="489C5FE4"/>
    <w:rsid w:val="48B151F3"/>
    <w:rsid w:val="48E227DF"/>
    <w:rsid w:val="48E7655B"/>
    <w:rsid w:val="490B41C9"/>
    <w:rsid w:val="4920349D"/>
    <w:rsid w:val="493551FC"/>
    <w:rsid w:val="498D011D"/>
    <w:rsid w:val="4A41352F"/>
    <w:rsid w:val="4A4D6E55"/>
    <w:rsid w:val="4AA8536F"/>
    <w:rsid w:val="4AE5116D"/>
    <w:rsid w:val="4AEB12C9"/>
    <w:rsid w:val="4B3C7309"/>
    <w:rsid w:val="4BDA5A90"/>
    <w:rsid w:val="4C5B34CF"/>
    <w:rsid w:val="4CBD7AA8"/>
    <w:rsid w:val="4D006948"/>
    <w:rsid w:val="4D4B4C18"/>
    <w:rsid w:val="4D785D8B"/>
    <w:rsid w:val="4DF7663B"/>
    <w:rsid w:val="4E1B04E4"/>
    <w:rsid w:val="4E9B71A2"/>
    <w:rsid w:val="4F5F437D"/>
    <w:rsid w:val="506B2404"/>
    <w:rsid w:val="5081194F"/>
    <w:rsid w:val="50B21F1B"/>
    <w:rsid w:val="50D42981"/>
    <w:rsid w:val="50D77BA1"/>
    <w:rsid w:val="50DE38C1"/>
    <w:rsid w:val="51062486"/>
    <w:rsid w:val="512445BF"/>
    <w:rsid w:val="51346B53"/>
    <w:rsid w:val="516075BC"/>
    <w:rsid w:val="51626351"/>
    <w:rsid w:val="51E341C0"/>
    <w:rsid w:val="51F51603"/>
    <w:rsid w:val="522C33F4"/>
    <w:rsid w:val="52800865"/>
    <w:rsid w:val="528A77B1"/>
    <w:rsid w:val="531950CC"/>
    <w:rsid w:val="535964BE"/>
    <w:rsid w:val="53714A7C"/>
    <w:rsid w:val="539C257A"/>
    <w:rsid w:val="53AD4EEB"/>
    <w:rsid w:val="53B912F7"/>
    <w:rsid w:val="53C77124"/>
    <w:rsid w:val="54010125"/>
    <w:rsid w:val="5414624A"/>
    <w:rsid w:val="543501E4"/>
    <w:rsid w:val="5504290E"/>
    <w:rsid w:val="553D06AD"/>
    <w:rsid w:val="558018AF"/>
    <w:rsid w:val="560D4EED"/>
    <w:rsid w:val="560E4266"/>
    <w:rsid w:val="563A7109"/>
    <w:rsid w:val="564E5997"/>
    <w:rsid w:val="571D1A19"/>
    <w:rsid w:val="5784475F"/>
    <w:rsid w:val="57B529D0"/>
    <w:rsid w:val="57EB2801"/>
    <w:rsid w:val="581038D9"/>
    <w:rsid w:val="5871566D"/>
    <w:rsid w:val="588922A8"/>
    <w:rsid w:val="592B11CE"/>
    <w:rsid w:val="594B5029"/>
    <w:rsid w:val="59863D07"/>
    <w:rsid w:val="5A066C06"/>
    <w:rsid w:val="5A4D60AF"/>
    <w:rsid w:val="5A4F66D8"/>
    <w:rsid w:val="5ABE0F66"/>
    <w:rsid w:val="5ABE4A5E"/>
    <w:rsid w:val="5AFC44DF"/>
    <w:rsid w:val="5B9F236E"/>
    <w:rsid w:val="5BB15DBD"/>
    <w:rsid w:val="5C1D6157"/>
    <w:rsid w:val="5C410695"/>
    <w:rsid w:val="5C4C29C0"/>
    <w:rsid w:val="5C8E232B"/>
    <w:rsid w:val="5C90779A"/>
    <w:rsid w:val="5CF47B08"/>
    <w:rsid w:val="5D5175DF"/>
    <w:rsid w:val="5DAF031F"/>
    <w:rsid w:val="5DC84BEC"/>
    <w:rsid w:val="5DF66CA7"/>
    <w:rsid w:val="5E1506E0"/>
    <w:rsid w:val="5E685FE8"/>
    <w:rsid w:val="5F0842AD"/>
    <w:rsid w:val="5F343C1C"/>
    <w:rsid w:val="5FA60789"/>
    <w:rsid w:val="5FC1162D"/>
    <w:rsid w:val="5FE47A47"/>
    <w:rsid w:val="60005863"/>
    <w:rsid w:val="60351475"/>
    <w:rsid w:val="60664C60"/>
    <w:rsid w:val="606C431A"/>
    <w:rsid w:val="610E4F37"/>
    <w:rsid w:val="616E0868"/>
    <w:rsid w:val="61F5186A"/>
    <w:rsid w:val="621A2490"/>
    <w:rsid w:val="62271618"/>
    <w:rsid w:val="62DC3474"/>
    <w:rsid w:val="6317571B"/>
    <w:rsid w:val="63AF531F"/>
    <w:rsid w:val="63D32C4E"/>
    <w:rsid w:val="63D74F7B"/>
    <w:rsid w:val="63DE2016"/>
    <w:rsid w:val="64080CA2"/>
    <w:rsid w:val="64880AE2"/>
    <w:rsid w:val="64FA0ED3"/>
    <w:rsid w:val="65006CE2"/>
    <w:rsid w:val="65351B70"/>
    <w:rsid w:val="653F35E1"/>
    <w:rsid w:val="655A06E6"/>
    <w:rsid w:val="65905611"/>
    <w:rsid w:val="659D172E"/>
    <w:rsid w:val="659F41BF"/>
    <w:rsid w:val="65AF44F1"/>
    <w:rsid w:val="666E036F"/>
    <w:rsid w:val="667052F9"/>
    <w:rsid w:val="66F36DB4"/>
    <w:rsid w:val="671059A6"/>
    <w:rsid w:val="6733188E"/>
    <w:rsid w:val="677FB403"/>
    <w:rsid w:val="678923E4"/>
    <w:rsid w:val="678A3229"/>
    <w:rsid w:val="67FBF99F"/>
    <w:rsid w:val="68353404"/>
    <w:rsid w:val="685A0E33"/>
    <w:rsid w:val="68736E1C"/>
    <w:rsid w:val="687A27CC"/>
    <w:rsid w:val="68AB1DE3"/>
    <w:rsid w:val="68B162D8"/>
    <w:rsid w:val="68B3016E"/>
    <w:rsid w:val="69545242"/>
    <w:rsid w:val="69E94C28"/>
    <w:rsid w:val="6A0D545A"/>
    <w:rsid w:val="6A841248"/>
    <w:rsid w:val="6A920735"/>
    <w:rsid w:val="6B1B2D53"/>
    <w:rsid w:val="6B94636E"/>
    <w:rsid w:val="6BA9750E"/>
    <w:rsid w:val="6BE39B10"/>
    <w:rsid w:val="6BFB14E9"/>
    <w:rsid w:val="6C3E4544"/>
    <w:rsid w:val="6C5336DE"/>
    <w:rsid w:val="6C9C6D37"/>
    <w:rsid w:val="6CA953E5"/>
    <w:rsid w:val="6CC11BD8"/>
    <w:rsid w:val="6CD21938"/>
    <w:rsid w:val="6CD31BFF"/>
    <w:rsid w:val="6CF415D3"/>
    <w:rsid w:val="6D3628C1"/>
    <w:rsid w:val="6D3E0486"/>
    <w:rsid w:val="6D9F6DFC"/>
    <w:rsid w:val="6DED6658"/>
    <w:rsid w:val="6DF67169"/>
    <w:rsid w:val="6DFB33D0"/>
    <w:rsid w:val="6E053ED4"/>
    <w:rsid w:val="6F984C71"/>
    <w:rsid w:val="6FD15AED"/>
    <w:rsid w:val="6FD8503B"/>
    <w:rsid w:val="70100D66"/>
    <w:rsid w:val="70411C9A"/>
    <w:rsid w:val="70A31285"/>
    <w:rsid w:val="70B36D70"/>
    <w:rsid w:val="70ED4AB1"/>
    <w:rsid w:val="70F51137"/>
    <w:rsid w:val="711376D0"/>
    <w:rsid w:val="713D40E6"/>
    <w:rsid w:val="725B2CDA"/>
    <w:rsid w:val="726A20E4"/>
    <w:rsid w:val="729B0D74"/>
    <w:rsid w:val="72C25048"/>
    <w:rsid w:val="72E56621"/>
    <w:rsid w:val="730F1AA6"/>
    <w:rsid w:val="73136A71"/>
    <w:rsid w:val="73377DB1"/>
    <w:rsid w:val="73674AEF"/>
    <w:rsid w:val="73B02BDC"/>
    <w:rsid w:val="73B64F5B"/>
    <w:rsid w:val="73F52D64"/>
    <w:rsid w:val="73FE023C"/>
    <w:rsid w:val="74412A0E"/>
    <w:rsid w:val="74884476"/>
    <w:rsid w:val="74D068BF"/>
    <w:rsid w:val="74F463CF"/>
    <w:rsid w:val="75141001"/>
    <w:rsid w:val="7560032C"/>
    <w:rsid w:val="7606285D"/>
    <w:rsid w:val="76327F95"/>
    <w:rsid w:val="76410A51"/>
    <w:rsid w:val="76733229"/>
    <w:rsid w:val="76781EB7"/>
    <w:rsid w:val="769B2D25"/>
    <w:rsid w:val="769F7C46"/>
    <w:rsid w:val="77104EC1"/>
    <w:rsid w:val="77230A79"/>
    <w:rsid w:val="77284EA9"/>
    <w:rsid w:val="775963B5"/>
    <w:rsid w:val="77880CBC"/>
    <w:rsid w:val="77BE38F2"/>
    <w:rsid w:val="77D20B91"/>
    <w:rsid w:val="78770D22"/>
    <w:rsid w:val="788146E7"/>
    <w:rsid w:val="78DA4E5B"/>
    <w:rsid w:val="78E20A3D"/>
    <w:rsid w:val="78E34860"/>
    <w:rsid w:val="79E85A7F"/>
    <w:rsid w:val="79EC3B38"/>
    <w:rsid w:val="79FD5AB1"/>
    <w:rsid w:val="7A331489"/>
    <w:rsid w:val="7A4956C2"/>
    <w:rsid w:val="7A726172"/>
    <w:rsid w:val="7AC33657"/>
    <w:rsid w:val="7AF77CF2"/>
    <w:rsid w:val="7B531942"/>
    <w:rsid w:val="7BAA1626"/>
    <w:rsid w:val="7BFC43B0"/>
    <w:rsid w:val="7C1E6FB5"/>
    <w:rsid w:val="7C2244FE"/>
    <w:rsid w:val="7CDC73FA"/>
    <w:rsid w:val="7D192609"/>
    <w:rsid w:val="7E05675E"/>
    <w:rsid w:val="7E4932C0"/>
    <w:rsid w:val="7E7F523F"/>
    <w:rsid w:val="7EA1669D"/>
    <w:rsid w:val="7EAD7388"/>
    <w:rsid w:val="7EB13FED"/>
    <w:rsid w:val="7F330F65"/>
    <w:rsid w:val="7F446F4F"/>
    <w:rsid w:val="7F863192"/>
    <w:rsid w:val="954FA62E"/>
    <w:rsid w:val="A7F75A74"/>
    <w:rsid w:val="BBEF73E4"/>
    <w:rsid w:val="BBF337E6"/>
    <w:rsid w:val="BDEF085C"/>
    <w:rsid w:val="BFF7D928"/>
    <w:rsid w:val="C9DF73EC"/>
    <w:rsid w:val="DF7F404C"/>
    <w:rsid w:val="DFCB21DC"/>
    <w:rsid w:val="EEEF442E"/>
    <w:rsid w:val="F0E274FC"/>
    <w:rsid w:val="F30EED42"/>
    <w:rsid w:val="F7A7000A"/>
    <w:rsid w:val="F7FF05C8"/>
    <w:rsid w:val="FA5FDABF"/>
    <w:rsid w:val="FB7F7F3D"/>
    <w:rsid w:val="FBCE69AA"/>
    <w:rsid w:val="FBDAA98E"/>
    <w:rsid w:val="FD7B9EE1"/>
    <w:rsid w:val="FDEF456C"/>
    <w:rsid w:val="FEBCFE08"/>
    <w:rsid w:val="FFFD5A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40"/>
    <w:qFormat/>
    <w:uiPriority w:val="0"/>
    <w:pPr>
      <w:keepNext/>
      <w:spacing w:line="360" w:lineRule="auto"/>
      <w:jc w:val="center"/>
      <w:outlineLvl w:val="0"/>
    </w:pPr>
    <w:rPr>
      <w:rFonts w:ascii="Arial" w:hAnsi="Arial"/>
      <w:b/>
      <w:bCs/>
      <w:sz w:val="24"/>
      <w:szCs w:val="18"/>
    </w:rPr>
  </w:style>
  <w:style w:type="paragraph" w:styleId="3">
    <w:name w:val="heading 2"/>
    <w:basedOn w:val="1"/>
    <w:next w:val="4"/>
    <w:qFormat/>
    <w:uiPriority w:val="0"/>
    <w:pPr>
      <w:keepNext/>
      <w:keepLines/>
      <w:spacing w:before="260" w:after="260"/>
      <w:outlineLvl w:val="1"/>
    </w:pPr>
    <w:rPr>
      <w:rFonts w:ascii="宋体" w:hAnsi="Arial" w:cs="Arial"/>
      <w:b/>
      <w:bCs/>
      <w:color w:val="000000"/>
      <w:sz w:val="28"/>
      <w:szCs w:val="28"/>
    </w:rPr>
  </w:style>
  <w:style w:type="paragraph" w:styleId="5">
    <w:name w:val="heading 3"/>
    <w:basedOn w:val="1"/>
    <w:next w:val="1"/>
    <w:qFormat/>
    <w:uiPriority w:val="0"/>
    <w:pPr>
      <w:keepNext/>
      <w:keepLines/>
      <w:numPr>
        <w:ilvl w:val="2"/>
        <w:numId w:val="1"/>
      </w:numPr>
      <w:spacing w:before="260" w:after="260" w:line="413" w:lineRule="auto"/>
      <w:outlineLvl w:val="2"/>
    </w:pPr>
    <w:rPr>
      <w:b/>
      <w:bCs/>
      <w:sz w:val="32"/>
      <w:szCs w:val="32"/>
    </w:rPr>
  </w:style>
  <w:style w:type="paragraph" w:styleId="6">
    <w:name w:val="heading 4"/>
    <w:basedOn w:val="1"/>
    <w:next w:val="1"/>
    <w:qFormat/>
    <w:uiPriority w:val="0"/>
    <w:pPr>
      <w:keepNext/>
      <w:keepLines/>
      <w:spacing w:before="280" w:after="290" w:line="372" w:lineRule="auto"/>
      <w:outlineLvl w:val="3"/>
    </w:pPr>
    <w:rPr>
      <w:rFonts w:ascii="Arial" w:hAnsi="Arial" w:eastAsia="黑体"/>
      <w:b/>
      <w:bCs/>
      <w:sz w:val="28"/>
      <w:szCs w:val="28"/>
    </w:rPr>
  </w:style>
  <w:style w:type="paragraph" w:styleId="7">
    <w:name w:val="heading 5"/>
    <w:basedOn w:val="1"/>
    <w:next w:val="1"/>
    <w:qFormat/>
    <w:uiPriority w:val="0"/>
    <w:pPr>
      <w:keepNext/>
      <w:adjustRightInd w:val="0"/>
      <w:snapToGrid w:val="0"/>
      <w:spacing w:before="100" w:beforeAutospacing="1" w:after="100" w:afterAutospacing="1"/>
      <w:jc w:val="center"/>
      <w:outlineLvl w:val="4"/>
    </w:pPr>
    <w:rPr>
      <w:rFonts w:ascii="宋体" w:hAnsi="宋体"/>
      <w:b/>
      <w:bCs/>
      <w:color w:val="000000"/>
    </w:rPr>
  </w:style>
  <w:style w:type="paragraph" w:styleId="8">
    <w:name w:val="heading 6"/>
    <w:basedOn w:val="1"/>
    <w:next w:val="1"/>
    <w:qFormat/>
    <w:uiPriority w:val="0"/>
    <w:pPr>
      <w:keepNext/>
      <w:keepLines/>
      <w:spacing w:before="240" w:after="64" w:line="317" w:lineRule="auto"/>
      <w:outlineLvl w:val="5"/>
    </w:pPr>
    <w:rPr>
      <w:rFonts w:ascii="Arial" w:hAnsi="Arial" w:eastAsia="黑体"/>
      <w:b/>
      <w:bCs/>
      <w:sz w:val="24"/>
    </w:rPr>
  </w:style>
  <w:style w:type="paragraph" w:styleId="9">
    <w:name w:val="heading 7"/>
    <w:basedOn w:val="1"/>
    <w:next w:val="1"/>
    <w:qFormat/>
    <w:uiPriority w:val="0"/>
    <w:pPr>
      <w:keepNext/>
      <w:keepLines/>
      <w:spacing w:before="240" w:after="64" w:line="317" w:lineRule="auto"/>
      <w:outlineLvl w:val="6"/>
    </w:pPr>
    <w:rPr>
      <w:b/>
      <w:bCs/>
      <w:sz w:val="24"/>
    </w:rPr>
  </w:style>
  <w:style w:type="paragraph" w:styleId="10">
    <w:name w:val="heading 8"/>
    <w:basedOn w:val="1"/>
    <w:next w:val="1"/>
    <w:qFormat/>
    <w:uiPriority w:val="0"/>
    <w:pPr>
      <w:keepNext/>
      <w:keepLines/>
      <w:spacing w:before="240" w:after="64" w:line="317" w:lineRule="auto"/>
      <w:outlineLvl w:val="7"/>
    </w:pPr>
    <w:rPr>
      <w:rFonts w:ascii="Arial" w:hAnsi="Arial" w:eastAsia="黑体"/>
      <w:sz w:val="24"/>
    </w:rPr>
  </w:style>
  <w:style w:type="paragraph" w:styleId="11">
    <w:name w:val="heading 9"/>
    <w:basedOn w:val="1"/>
    <w:next w:val="1"/>
    <w:qFormat/>
    <w:uiPriority w:val="0"/>
    <w:pPr>
      <w:keepNext/>
      <w:keepLines/>
      <w:spacing w:before="240" w:after="64" w:line="317" w:lineRule="auto"/>
      <w:outlineLvl w:val="8"/>
    </w:pPr>
    <w:rPr>
      <w:rFonts w:ascii="Arial" w:hAnsi="Arial" w:eastAsia="黑体"/>
      <w:szCs w:val="21"/>
    </w:rPr>
  </w:style>
  <w:style w:type="character" w:default="1" w:styleId="55">
    <w:name w:val="Default Paragraph Font"/>
    <w:semiHidden/>
    <w:unhideWhenUsed/>
    <w:qFormat/>
    <w:uiPriority w:val="1"/>
  </w:style>
  <w:style w:type="table" w:default="1" w:styleId="5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12">
    <w:name w:val="List 3"/>
    <w:basedOn w:val="1"/>
    <w:qFormat/>
    <w:uiPriority w:val="0"/>
    <w:pPr>
      <w:ind w:left="100" w:leftChars="400" w:hanging="200" w:hangingChars="200"/>
    </w:pPr>
  </w:style>
  <w:style w:type="paragraph" w:styleId="13">
    <w:name w:val="toc 7"/>
    <w:basedOn w:val="1"/>
    <w:next w:val="1"/>
    <w:semiHidden/>
    <w:qFormat/>
    <w:uiPriority w:val="0"/>
    <w:pPr>
      <w:ind w:left="2520" w:leftChars="1200"/>
    </w:pPr>
  </w:style>
  <w:style w:type="paragraph" w:styleId="14">
    <w:name w:val="List Bullet 4"/>
    <w:basedOn w:val="1"/>
    <w:qFormat/>
    <w:uiPriority w:val="0"/>
    <w:pPr>
      <w:tabs>
        <w:tab w:val="left" w:pos="1620"/>
      </w:tabs>
      <w:ind w:left="1620" w:hanging="360"/>
    </w:pPr>
  </w:style>
  <w:style w:type="paragraph" w:styleId="15">
    <w:name w:val="caption"/>
    <w:basedOn w:val="1"/>
    <w:next w:val="1"/>
    <w:qFormat/>
    <w:uiPriority w:val="0"/>
    <w:rPr>
      <w:rFonts w:ascii="Arial" w:hAnsi="Arial" w:eastAsia="黑体" w:cs="Arial"/>
      <w:sz w:val="20"/>
      <w:szCs w:val="20"/>
    </w:rPr>
  </w:style>
  <w:style w:type="paragraph" w:styleId="16">
    <w:name w:val="Document Map"/>
    <w:basedOn w:val="1"/>
    <w:qFormat/>
    <w:uiPriority w:val="0"/>
    <w:pPr>
      <w:shd w:val="clear" w:color="auto" w:fill="000080"/>
    </w:pPr>
  </w:style>
  <w:style w:type="paragraph" w:styleId="17">
    <w:name w:val="annotation text"/>
    <w:basedOn w:val="1"/>
    <w:link w:val="141"/>
    <w:qFormat/>
    <w:uiPriority w:val="99"/>
    <w:pPr>
      <w:jc w:val="left"/>
    </w:pPr>
  </w:style>
  <w:style w:type="paragraph" w:styleId="18">
    <w:name w:val="Body Text 3"/>
    <w:basedOn w:val="1"/>
    <w:qFormat/>
    <w:uiPriority w:val="0"/>
    <w:pPr>
      <w:spacing w:after="120"/>
    </w:pPr>
    <w:rPr>
      <w:sz w:val="16"/>
      <w:szCs w:val="16"/>
    </w:rPr>
  </w:style>
  <w:style w:type="paragraph" w:styleId="19">
    <w:name w:val="List Bullet 3"/>
    <w:basedOn w:val="1"/>
    <w:qFormat/>
    <w:uiPriority w:val="0"/>
    <w:pPr>
      <w:tabs>
        <w:tab w:val="left" w:pos="1200"/>
      </w:tabs>
      <w:ind w:left="1200" w:hanging="360"/>
    </w:pPr>
  </w:style>
  <w:style w:type="paragraph" w:styleId="20">
    <w:name w:val="Body Text"/>
    <w:basedOn w:val="1"/>
    <w:qFormat/>
    <w:uiPriority w:val="0"/>
    <w:pPr>
      <w:spacing w:after="120"/>
    </w:pPr>
  </w:style>
  <w:style w:type="paragraph" w:styleId="21">
    <w:name w:val="Body Text Indent"/>
    <w:basedOn w:val="1"/>
    <w:qFormat/>
    <w:uiPriority w:val="0"/>
    <w:pPr>
      <w:ind w:left="420" w:leftChars="200" w:firstLine="420" w:firstLineChars="200"/>
    </w:pPr>
  </w:style>
  <w:style w:type="paragraph" w:styleId="22">
    <w:name w:val="List 2"/>
    <w:basedOn w:val="1"/>
    <w:qFormat/>
    <w:uiPriority w:val="0"/>
    <w:pPr>
      <w:ind w:left="100" w:leftChars="200" w:hanging="200" w:hangingChars="200"/>
    </w:pPr>
  </w:style>
  <w:style w:type="paragraph" w:styleId="23">
    <w:name w:val="List Continue"/>
    <w:basedOn w:val="1"/>
    <w:qFormat/>
    <w:uiPriority w:val="0"/>
    <w:pPr>
      <w:spacing w:after="120"/>
      <w:ind w:left="420" w:leftChars="200"/>
    </w:pPr>
  </w:style>
  <w:style w:type="paragraph" w:styleId="24">
    <w:name w:val="Block Text"/>
    <w:basedOn w:val="1"/>
    <w:qFormat/>
    <w:uiPriority w:val="0"/>
    <w:pPr>
      <w:ind w:left="105" w:right="353" w:firstLine="720"/>
      <w:jc w:val="center"/>
    </w:pPr>
    <w:rPr>
      <w:rFonts w:eastAsia="楷体_GB2312"/>
      <w:sz w:val="24"/>
    </w:rPr>
  </w:style>
  <w:style w:type="paragraph" w:styleId="25">
    <w:name w:val="List Bullet 2"/>
    <w:basedOn w:val="1"/>
    <w:qFormat/>
    <w:uiPriority w:val="0"/>
    <w:pPr>
      <w:tabs>
        <w:tab w:val="left" w:pos="780"/>
      </w:tabs>
      <w:ind w:left="780" w:hanging="360"/>
    </w:pPr>
  </w:style>
  <w:style w:type="paragraph" w:styleId="26">
    <w:name w:val="toc 5"/>
    <w:basedOn w:val="1"/>
    <w:next w:val="1"/>
    <w:semiHidden/>
    <w:qFormat/>
    <w:uiPriority w:val="0"/>
    <w:pPr>
      <w:ind w:left="1680" w:leftChars="800"/>
    </w:pPr>
  </w:style>
  <w:style w:type="paragraph" w:styleId="27">
    <w:name w:val="toc 3"/>
    <w:basedOn w:val="1"/>
    <w:next w:val="1"/>
    <w:qFormat/>
    <w:uiPriority w:val="0"/>
    <w:pPr>
      <w:ind w:left="840" w:leftChars="400"/>
    </w:pPr>
  </w:style>
  <w:style w:type="paragraph" w:styleId="28">
    <w:name w:val="Plain Text"/>
    <w:basedOn w:val="1"/>
    <w:link w:val="148"/>
    <w:qFormat/>
    <w:uiPriority w:val="0"/>
    <w:rPr>
      <w:rFonts w:ascii="宋体" w:hAnsi="Courier New"/>
    </w:rPr>
  </w:style>
  <w:style w:type="paragraph" w:styleId="29">
    <w:name w:val="toc 8"/>
    <w:basedOn w:val="1"/>
    <w:next w:val="1"/>
    <w:semiHidden/>
    <w:qFormat/>
    <w:uiPriority w:val="0"/>
    <w:pPr>
      <w:ind w:left="2940" w:leftChars="1400"/>
    </w:pPr>
  </w:style>
  <w:style w:type="paragraph" w:styleId="30">
    <w:name w:val="Date"/>
    <w:basedOn w:val="1"/>
    <w:next w:val="1"/>
    <w:qFormat/>
    <w:uiPriority w:val="0"/>
    <w:rPr>
      <w:rFonts w:ascii="宋体" w:hAnsi="Courier New"/>
      <w:sz w:val="32"/>
      <w:szCs w:val="20"/>
    </w:rPr>
  </w:style>
  <w:style w:type="paragraph" w:styleId="31">
    <w:name w:val="Body Text Indent 2"/>
    <w:basedOn w:val="1"/>
    <w:qFormat/>
    <w:uiPriority w:val="0"/>
    <w:pPr>
      <w:spacing w:line="360" w:lineRule="auto"/>
      <w:ind w:firstLine="420" w:firstLineChars="200"/>
    </w:pPr>
  </w:style>
  <w:style w:type="paragraph" w:styleId="32">
    <w:name w:val="List Continue 5"/>
    <w:basedOn w:val="1"/>
    <w:qFormat/>
    <w:uiPriority w:val="0"/>
    <w:pPr>
      <w:spacing w:after="120"/>
      <w:ind w:left="2100" w:leftChars="1000"/>
    </w:pPr>
  </w:style>
  <w:style w:type="paragraph" w:styleId="33">
    <w:name w:val="Balloon Text"/>
    <w:basedOn w:val="1"/>
    <w:qFormat/>
    <w:uiPriority w:val="0"/>
    <w:rPr>
      <w:sz w:val="18"/>
      <w:szCs w:val="20"/>
    </w:rPr>
  </w:style>
  <w:style w:type="paragraph" w:styleId="34">
    <w:name w:val="footer"/>
    <w:basedOn w:val="1"/>
    <w:link w:val="145"/>
    <w:qFormat/>
    <w:uiPriority w:val="99"/>
    <w:pPr>
      <w:pBdr>
        <w:top w:val="single" w:color="auto" w:sz="4" w:space="1"/>
      </w:pBdr>
      <w:tabs>
        <w:tab w:val="center" w:pos="4153"/>
        <w:tab w:val="right" w:pos="8306"/>
      </w:tabs>
      <w:snapToGrid w:val="0"/>
      <w:jc w:val="left"/>
    </w:pPr>
    <w:rPr>
      <w:sz w:val="18"/>
      <w:szCs w:val="18"/>
    </w:rPr>
  </w:style>
  <w:style w:type="paragraph" w:styleId="35">
    <w:name w:val="header"/>
    <w:basedOn w:val="1"/>
    <w:link w:val="146"/>
    <w:qFormat/>
    <w:uiPriority w:val="0"/>
    <w:pPr>
      <w:pBdr>
        <w:bottom w:val="single" w:color="auto" w:sz="4" w:space="1"/>
      </w:pBdr>
      <w:tabs>
        <w:tab w:val="center" w:pos="4153"/>
        <w:tab w:val="right" w:pos="8306"/>
      </w:tabs>
      <w:snapToGrid w:val="0"/>
      <w:jc w:val="center"/>
    </w:pPr>
    <w:rPr>
      <w:sz w:val="18"/>
      <w:szCs w:val="18"/>
    </w:rPr>
  </w:style>
  <w:style w:type="paragraph" w:styleId="36">
    <w:name w:val="toc 1"/>
    <w:basedOn w:val="1"/>
    <w:next w:val="1"/>
    <w:qFormat/>
    <w:uiPriority w:val="39"/>
    <w:pPr>
      <w:tabs>
        <w:tab w:val="right" w:leader="dot" w:pos="9344"/>
      </w:tabs>
      <w:spacing w:before="120" w:after="120"/>
      <w:jc w:val="left"/>
    </w:pPr>
    <w:rPr>
      <w:rFonts w:ascii="宋体" w:hAnsi="宋体"/>
      <w:b/>
      <w:bCs/>
      <w:caps/>
      <w:sz w:val="28"/>
      <w:szCs w:val="28"/>
    </w:rPr>
  </w:style>
  <w:style w:type="paragraph" w:styleId="37">
    <w:name w:val="List Continue 4"/>
    <w:basedOn w:val="1"/>
    <w:qFormat/>
    <w:uiPriority w:val="0"/>
    <w:pPr>
      <w:spacing w:after="120"/>
      <w:ind w:left="1680" w:leftChars="800"/>
    </w:pPr>
  </w:style>
  <w:style w:type="paragraph" w:styleId="38">
    <w:name w:val="toc 4"/>
    <w:basedOn w:val="1"/>
    <w:next w:val="1"/>
    <w:qFormat/>
    <w:uiPriority w:val="0"/>
    <w:pPr>
      <w:ind w:left="1260" w:leftChars="600"/>
    </w:pPr>
  </w:style>
  <w:style w:type="paragraph" w:styleId="39">
    <w:name w:val="List"/>
    <w:basedOn w:val="1"/>
    <w:qFormat/>
    <w:uiPriority w:val="0"/>
    <w:pPr>
      <w:ind w:left="200" w:hanging="200" w:hangingChars="200"/>
    </w:pPr>
  </w:style>
  <w:style w:type="paragraph" w:styleId="40">
    <w:name w:val="toc 6"/>
    <w:basedOn w:val="1"/>
    <w:next w:val="1"/>
    <w:semiHidden/>
    <w:qFormat/>
    <w:uiPriority w:val="0"/>
    <w:pPr>
      <w:ind w:left="2100" w:leftChars="1000"/>
    </w:pPr>
  </w:style>
  <w:style w:type="paragraph" w:styleId="41">
    <w:name w:val="List 5"/>
    <w:basedOn w:val="1"/>
    <w:qFormat/>
    <w:uiPriority w:val="0"/>
    <w:pPr>
      <w:ind w:left="100" w:leftChars="800" w:hanging="200" w:hangingChars="200"/>
    </w:pPr>
  </w:style>
  <w:style w:type="paragraph" w:styleId="42">
    <w:name w:val="Body Text Indent 3"/>
    <w:basedOn w:val="1"/>
    <w:qFormat/>
    <w:uiPriority w:val="0"/>
    <w:pPr>
      <w:tabs>
        <w:tab w:val="left" w:pos="1080"/>
      </w:tabs>
      <w:adjustRightInd w:val="0"/>
      <w:snapToGrid w:val="0"/>
      <w:spacing w:line="300" w:lineRule="auto"/>
      <w:ind w:left="1075" w:leftChars="342" w:hanging="357" w:hangingChars="170"/>
    </w:pPr>
    <w:rPr>
      <w:rFonts w:ascii="宋体" w:hAnsi="宋体"/>
      <w:snapToGrid w:val="0"/>
      <w:kern w:val="0"/>
    </w:rPr>
  </w:style>
  <w:style w:type="paragraph" w:styleId="43">
    <w:name w:val="toc 2"/>
    <w:basedOn w:val="1"/>
    <w:next w:val="1"/>
    <w:qFormat/>
    <w:uiPriority w:val="39"/>
    <w:pPr>
      <w:tabs>
        <w:tab w:val="right" w:leader="dot" w:pos="9344"/>
      </w:tabs>
      <w:spacing w:line="360" w:lineRule="auto"/>
      <w:ind w:left="422" w:right="420" w:rightChars="200" w:hanging="422" w:hangingChars="200"/>
      <w:jc w:val="left"/>
    </w:pPr>
    <w:rPr>
      <w:rFonts w:ascii="黑体" w:hAnsi="宋体" w:eastAsia="黑体"/>
      <w:b/>
      <w:smallCaps/>
      <w:snapToGrid w:val="0"/>
      <w:kern w:val="0"/>
      <w:szCs w:val="21"/>
    </w:rPr>
  </w:style>
  <w:style w:type="paragraph" w:styleId="44">
    <w:name w:val="toc 9"/>
    <w:basedOn w:val="1"/>
    <w:next w:val="1"/>
    <w:semiHidden/>
    <w:qFormat/>
    <w:uiPriority w:val="0"/>
    <w:pPr>
      <w:ind w:left="3360" w:leftChars="1600"/>
    </w:pPr>
  </w:style>
  <w:style w:type="paragraph" w:styleId="45">
    <w:name w:val="Body Text 2"/>
    <w:basedOn w:val="1"/>
    <w:qFormat/>
    <w:uiPriority w:val="0"/>
    <w:pPr>
      <w:spacing w:after="120" w:line="480" w:lineRule="auto"/>
    </w:pPr>
  </w:style>
  <w:style w:type="paragraph" w:styleId="46">
    <w:name w:val="List 4"/>
    <w:basedOn w:val="1"/>
    <w:qFormat/>
    <w:uiPriority w:val="0"/>
    <w:pPr>
      <w:ind w:left="100" w:leftChars="600" w:hanging="200" w:hangingChars="200"/>
    </w:pPr>
  </w:style>
  <w:style w:type="paragraph" w:styleId="47">
    <w:name w:val="List Continue 2"/>
    <w:basedOn w:val="1"/>
    <w:qFormat/>
    <w:uiPriority w:val="0"/>
    <w:pPr>
      <w:spacing w:after="120"/>
      <w:ind w:left="840" w:leftChars="400"/>
    </w:pPr>
  </w:style>
  <w:style w:type="paragraph" w:styleId="48">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49">
    <w:name w:val="Normal (Web)"/>
    <w:basedOn w:val="1"/>
    <w:qFormat/>
    <w:uiPriority w:val="0"/>
    <w:pPr>
      <w:widowControl/>
      <w:spacing w:before="100" w:beforeAutospacing="1" w:after="100" w:afterAutospacing="1"/>
      <w:jc w:val="left"/>
    </w:pPr>
    <w:rPr>
      <w:rFonts w:ascii="宋体" w:hAnsi="宋体"/>
      <w:kern w:val="0"/>
      <w:sz w:val="24"/>
    </w:rPr>
  </w:style>
  <w:style w:type="paragraph" w:styleId="50">
    <w:name w:val="List Continue 3"/>
    <w:basedOn w:val="1"/>
    <w:qFormat/>
    <w:uiPriority w:val="0"/>
    <w:pPr>
      <w:spacing w:after="120"/>
      <w:ind w:left="1260" w:leftChars="600"/>
    </w:pPr>
  </w:style>
  <w:style w:type="paragraph" w:styleId="51">
    <w:name w:val="annotation subject"/>
    <w:basedOn w:val="17"/>
    <w:next w:val="17"/>
    <w:semiHidden/>
    <w:qFormat/>
    <w:uiPriority w:val="0"/>
    <w:rPr>
      <w:b/>
      <w:bCs/>
    </w:rPr>
  </w:style>
  <w:style w:type="paragraph" w:styleId="52">
    <w:name w:val="Body Text First Indent 2"/>
    <w:basedOn w:val="21"/>
    <w:qFormat/>
    <w:uiPriority w:val="0"/>
  </w:style>
  <w:style w:type="table" w:styleId="54">
    <w:name w:val="Table Grid"/>
    <w:basedOn w:val="5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6">
    <w:name w:val="Strong"/>
    <w:qFormat/>
    <w:uiPriority w:val="0"/>
    <w:rPr>
      <w:b/>
      <w:bCs/>
    </w:rPr>
  </w:style>
  <w:style w:type="character" w:styleId="57">
    <w:name w:val="page number"/>
    <w:basedOn w:val="55"/>
    <w:qFormat/>
    <w:uiPriority w:val="0"/>
  </w:style>
  <w:style w:type="character" w:styleId="58">
    <w:name w:val="FollowedHyperlink"/>
    <w:qFormat/>
    <w:uiPriority w:val="0"/>
    <w:rPr>
      <w:color w:val="800080"/>
      <w:u w:val="single"/>
    </w:rPr>
  </w:style>
  <w:style w:type="character" w:styleId="59">
    <w:name w:val="Hyperlink"/>
    <w:qFormat/>
    <w:uiPriority w:val="99"/>
    <w:rPr>
      <w:color w:val="0000FF"/>
      <w:u w:val="single"/>
    </w:rPr>
  </w:style>
  <w:style w:type="character" w:styleId="60">
    <w:name w:val="annotation reference"/>
    <w:qFormat/>
    <w:uiPriority w:val="99"/>
    <w:rPr>
      <w:sz w:val="21"/>
      <w:szCs w:val="21"/>
    </w:rPr>
  </w:style>
  <w:style w:type="paragraph" w:customStyle="1" w:styleId="61">
    <w:name w:val="标准正文"/>
    <w:basedOn w:val="1"/>
    <w:qFormat/>
    <w:uiPriority w:val="0"/>
    <w:pPr>
      <w:spacing w:line="360" w:lineRule="auto"/>
      <w:ind w:firstLine="200" w:firstLineChars="200"/>
      <w:jc w:val="center"/>
    </w:pPr>
    <w:rPr>
      <w:rFonts w:ascii="宋体" w:hAnsi="宋体"/>
      <w:snapToGrid w:val="0"/>
      <w:spacing w:val="8"/>
      <w:sz w:val="24"/>
      <w:u w:val="single"/>
    </w:rPr>
  </w:style>
  <w:style w:type="paragraph" w:customStyle="1" w:styleId="62">
    <w:name w:val="标题3"/>
    <w:basedOn w:val="5"/>
    <w:qFormat/>
    <w:uiPriority w:val="0"/>
    <w:pPr>
      <w:numPr>
        <w:ilvl w:val="0"/>
        <w:numId w:val="0"/>
      </w:numPr>
      <w:spacing w:before="0" w:after="0" w:line="360" w:lineRule="auto"/>
    </w:pPr>
    <w:rPr>
      <w:b w:val="0"/>
      <w:sz w:val="24"/>
      <w:szCs w:val="24"/>
    </w:rPr>
  </w:style>
  <w:style w:type="paragraph" w:customStyle="1" w:styleId="63">
    <w:name w:val="Char Char Char Char Char Char Char1"/>
    <w:basedOn w:val="1"/>
    <w:qFormat/>
    <w:uiPriority w:val="0"/>
    <w:rPr>
      <w:rFonts w:ascii="Tahoma" w:hAnsi="Tahoma" w:cs="Tahoma"/>
      <w:sz w:val="30"/>
      <w:szCs w:val="30"/>
    </w:rPr>
  </w:style>
  <w:style w:type="paragraph" w:customStyle="1" w:styleId="64">
    <w:name w:val="font6"/>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65">
    <w:name w:val="默认段落字体 Para Char"/>
    <w:basedOn w:val="1"/>
    <w:qFormat/>
    <w:uiPriority w:val="0"/>
    <w:rPr>
      <w:sz w:val="24"/>
    </w:rPr>
  </w:style>
  <w:style w:type="paragraph" w:customStyle="1" w:styleId="66">
    <w:name w:val="Default"/>
    <w:qFormat/>
    <w:uiPriority w:val="0"/>
    <w:pPr>
      <w:widowControl w:val="0"/>
      <w:autoSpaceDE w:val="0"/>
      <w:autoSpaceDN w:val="0"/>
      <w:adjustRightInd w:val="0"/>
    </w:pPr>
    <w:rPr>
      <w:rFonts w:ascii="PMingLiU" w:hAnsi="PMingLiU" w:eastAsia="PMingLiU" w:cs="Times New Roman"/>
      <w:color w:val="000000"/>
      <w:sz w:val="22"/>
      <w:szCs w:val="24"/>
      <w:lang w:val="en-US" w:eastAsia="zh-CN" w:bidi="ar-SA"/>
    </w:rPr>
  </w:style>
  <w:style w:type="paragraph" w:customStyle="1" w:styleId="67">
    <w:name w:val="Char1"/>
    <w:basedOn w:val="1"/>
    <w:qFormat/>
    <w:uiPriority w:val="0"/>
    <w:pPr>
      <w:widowControl/>
      <w:spacing w:after="160" w:line="240" w:lineRule="exact"/>
      <w:jc w:val="left"/>
    </w:pPr>
    <w:rPr>
      <w:sz w:val="24"/>
    </w:rPr>
  </w:style>
  <w:style w:type="paragraph" w:customStyle="1" w:styleId="68">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69">
    <w:name w:val="封面空格"/>
    <w:basedOn w:val="1"/>
    <w:qFormat/>
    <w:uiPriority w:val="0"/>
    <w:pPr>
      <w:spacing w:line="360" w:lineRule="auto"/>
      <w:jc w:val="distribute"/>
    </w:pPr>
    <w:rPr>
      <w:rFonts w:ascii="宋体"/>
      <w:b/>
      <w:sz w:val="58"/>
    </w:rPr>
  </w:style>
  <w:style w:type="paragraph" w:customStyle="1" w:styleId="70">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71">
    <w:name w:val="样式4"/>
    <w:basedOn w:val="1"/>
    <w:qFormat/>
    <w:uiPriority w:val="0"/>
    <w:pPr>
      <w:pBdr>
        <w:top w:val="single" w:color="auto" w:sz="4" w:space="1"/>
      </w:pBdr>
    </w:pPr>
  </w:style>
  <w:style w:type="paragraph" w:customStyle="1" w:styleId="72">
    <w:name w:val="Char Char"/>
    <w:basedOn w:val="1"/>
    <w:qFormat/>
    <w:uiPriority w:val="0"/>
  </w:style>
  <w:style w:type="paragraph" w:customStyle="1" w:styleId="73">
    <w:name w:val="三级无标题条"/>
    <w:basedOn w:val="1"/>
    <w:qFormat/>
    <w:uiPriority w:val="0"/>
    <w:rPr>
      <w:szCs w:val="21"/>
    </w:rPr>
  </w:style>
  <w:style w:type="paragraph" w:customStyle="1" w:styleId="74">
    <w:name w:val="p0"/>
    <w:basedOn w:val="1"/>
    <w:qFormat/>
    <w:uiPriority w:val="0"/>
    <w:pPr>
      <w:widowControl/>
    </w:pPr>
    <w:rPr>
      <w:kern w:val="0"/>
      <w:szCs w:val="21"/>
    </w:rPr>
  </w:style>
  <w:style w:type="paragraph" w:customStyle="1" w:styleId="75">
    <w:name w:val="列出段落1"/>
    <w:basedOn w:val="1"/>
    <w:qFormat/>
    <w:uiPriority w:val="0"/>
    <w:pPr>
      <w:ind w:firstLine="420" w:firstLineChars="200"/>
    </w:pPr>
    <w:rPr>
      <w:rFonts w:ascii="Calibri" w:hAnsi="Calibri"/>
      <w:szCs w:val="22"/>
    </w:rPr>
  </w:style>
  <w:style w:type="paragraph" w:customStyle="1" w:styleId="76">
    <w:name w:val="标准"/>
    <w:basedOn w:val="1"/>
    <w:qFormat/>
    <w:uiPriority w:val="0"/>
    <w:pPr>
      <w:overflowPunct w:val="0"/>
      <w:autoSpaceDE w:val="0"/>
      <w:autoSpaceDN w:val="0"/>
      <w:adjustRightInd w:val="0"/>
      <w:spacing w:line="240" w:lineRule="atLeast"/>
      <w:textAlignment w:val="baseline"/>
    </w:pPr>
    <w:rPr>
      <w:rFonts w:eastAsia="楷体_GB2312"/>
      <w:kern w:val="0"/>
      <w:sz w:val="24"/>
      <w:szCs w:val="20"/>
    </w:rPr>
  </w:style>
  <w:style w:type="paragraph" w:customStyle="1" w:styleId="77">
    <w:name w:val="大标题空格"/>
    <w:basedOn w:val="1"/>
    <w:qFormat/>
    <w:uiPriority w:val="0"/>
    <w:pPr>
      <w:spacing w:line="300" w:lineRule="auto"/>
    </w:pPr>
    <w:rPr>
      <w:rFonts w:ascii="宋体" w:hAnsi="宋体"/>
      <w:b/>
      <w:sz w:val="32"/>
    </w:rPr>
  </w:style>
  <w:style w:type="paragraph" w:customStyle="1" w:styleId="78">
    <w:name w:val="样式 宋体 四号 加粗 海绿 首行缩进:  0.85 厘米 行距: 1.5 倍行距"/>
    <w:basedOn w:val="1"/>
    <w:qFormat/>
    <w:uiPriority w:val="0"/>
    <w:pPr>
      <w:widowControl/>
      <w:tabs>
        <w:tab w:val="left" w:pos="900"/>
      </w:tabs>
      <w:ind w:left="900" w:hanging="420"/>
      <w:jc w:val="left"/>
    </w:pPr>
    <w:rPr>
      <w:kern w:val="0"/>
      <w:sz w:val="24"/>
    </w:rPr>
  </w:style>
  <w:style w:type="paragraph" w:customStyle="1" w:styleId="79">
    <w:name w:val="Char1 Char Char Char1"/>
    <w:basedOn w:val="1"/>
    <w:qFormat/>
    <w:uiPriority w:val="0"/>
    <w:rPr>
      <w:szCs w:val="20"/>
    </w:rPr>
  </w:style>
  <w:style w:type="paragraph" w:customStyle="1" w:styleId="80">
    <w:name w:val="Char Char Char Char"/>
    <w:basedOn w:val="1"/>
    <w:qFormat/>
    <w:uiPriority w:val="0"/>
    <w:pPr>
      <w:widowControl/>
      <w:spacing w:after="160" w:line="240" w:lineRule="exact"/>
      <w:jc w:val="left"/>
    </w:pPr>
    <w:rPr>
      <w:kern w:val="0"/>
      <w:sz w:val="20"/>
      <w:szCs w:val="20"/>
    </w:rPr>
  </w:style>
  <w:style w:type="paragraph" w:customStyle="1" w:styleId="81">
    <w:name w:val="题注4"/>
    <w:basedOn w:val="1"/>
    <w:next w:val="15"/>
    <w:qFormat/>
    <w:uiPriority w:val="0"/>
    <w:pPr>
      <w:spacing w:line="520" w:lineRule="exact"/>
    </w:pPr>
    <w:rPr>
      <w:rFonts w:ascii="宋体" w:hAnsi="宋体"/>
      <w:color w:val="000000"/>
      <w:spacing w:val="-10"/>
      <w:sz w:val="24"/>
    </w:rPr>
  </w:style>
  <w:style w:type="paragraph" w:customStyle="1" w:styleId="82">
    <w:name w:val="征文"/>
    <w:basedOn w:val="45"/>
    <w:qFormat/>
    <w:uiPriority w:val="0"/>
    <w:pPr>
      <w:spacing w:after="0" w:line="240" w:lineRule="auto"/>
    </w:pPr>
    <w:rPr>
      <w:rFonts w:eastAsia="仿宋_GB2312"/>
      <w:sz w:val="24"/>
      <w:szCs w:val="20"/>
    </w:rPr>
  </w:style>
  <w:style w:type="paragraph" w:styleId="83">
    <w:name w:val="List Paragraph"/>
    <w:basedOn w:val="1"/>
    <w:qFormat/>
    <w:uiPriority w:val="34"/>
    <w:pPr>
      <w:ind w:firstLine="420" w:firstLineChars="200"/>
    </w:pPr>
  </w:style>
  <w:style w:type="paragraph" w:customStyle="1" w:styleId="84">
    <w:name w:val="标题2"/>
    <w:qFormat/>
    <w:uiPriority w:val="0"/>
    <w:pPr>
      <w:spacing w:line="360" w:lineRule="auto"/>
      <w:jc w:val="both"/>
    </w:pPr>
    <w:rPr>
      <w:rFonts w:ascii="宋体" w:hAnsi="宋体" w:eastAsia="宋体" w:cs="宋体"/>
      <w:b/>
      <w:bCs/>
      <w:kern w:val="2"/>
      <w:sz w:val="26"/>
      <w:lang w:val="en-US" w:eastAsia="zh-CN" w:bidi="ar-SA"/>
    </w:rPr>
  </w:style>
  <w:style w:type="paragraph" w:customStyle="1" w:styleId="85">
    <w:name w:val="李3"/>
    <w:basedOn w:val="1"/>
    <w:qFormat/>
    <w:uiPriority w:val="0"/>
    <w:pPr>
      <w:adjustRightInd w:val="0"/>
      <w:snapToGrid w:val="0"/>
      <w:spacing w:line="240" w:lineRule="exact"/>
      <w:jc w:val="left"/>
      <w:outlineLvl w:val="2"/>
    </w:pPr>
    <w:rPr>
      <w:rFonts w:ascii="Arial" w:hAnsi="Arial" w:cs="Arial"/>
    </w:rPr>
  </w:style>
  <w:style w:type="paragraph" w:customStyle="1" w:styleId="86">
    <w:name w:val="批注主题[858D7CFB-ED40-4347-BF05-701D383B685F][858D7CFB-ED40-4347-BF05-701D383B685F]"/>
    <w:basedOn w:val="17"/>
    <w:next w:val="17"/>
    <w:qFormat/>
    <w:uiPriority w:val="0"/>
    <w:rPr>
      <w:b/>
      <w:bCs/>
    </w:rPr>
  </w:style>
  <w:style w:type="paragraph" w:customStyle="1" w:styleId="87">
    <w:name w:val="_Style 85"/>
    <w:basedOn w:val="2"/>
    <w:next w:val="1"/>
    <w:qFormat/>
    <w:uiPriority w:val="39"/>
    <w:pPr>
      <w:keepLines/>
      <w:widowControl/>
      <w:spacing w:before="480" w:line="276" w:lineRule="auto"/>
      <w:jc w:val="left"/>
      <w:outlineLvl w:val="9"/>
    </w:pPr>
    <w:rPr>
      <w:rFonts w:ascii="Cambria" w:hAnsi="Cambria"/>
      <w:color w:val="365F91"/>
      <w:kern w:val="0"/>
      <w:sz w:val="28"/>
      <w:szCs w:val="28"/>
    </w:rPr>
  </w:style>
  <w:style w:type="paragraph" w:customStyle="1" w:styleId="88">
    <w:name w:val="1"/>
    <w:basedOn w:val="1"/>
    <w:next w:val="28"/>
    <w:qFormat/>
    <w:uiPriority w:val="0"/>
    <w:rPr>
      <w:rFonts w:ascii="宋体" w:hAnsi="Courier New"/>
      <w:szCs w:val="20"/>
    </w:rPr>
  </w:style>
  <w:style w:type="paragraph" w:customStyle="1" w:styleId="89">
    <w:name w:val="xl22"/>
    <w:basedOn w:val="1"/>
    <w:qFormat/>
    <w:uiPriority w:val="0"/>
    <w:pPr>
      <w:widowControl/>
      <w:spacing w:before="100" w:beforeAutospacing="1" w:after="100" w:afterAutospacing="1"/>
      <w:jc w:val="center"/>
    </w:pPr>
    <w:rPr>
      <w:rFonts w:hint="eastAsia" w:ascii="Arial Unicode MS" w:hAnsi="Arial Unicode MS" w:eastAsia="Arial Unicode MS" w:cs="Arial Unicode MS"/>
      <w:kern w:val="0"/>
      <w:sz w:val="24"/>
    </w:rPr>
  </w:style>
  <w:style w:type="paragraph" w:customStyle="1" w:styleId="90">
    <w:name w:val="Char Char Char Char Char Char Char Char Char Char"/>
    <w:basedOn w:val="1"/>
    <w:qFormat/>
    <w:uiPriority w:val="0"/>
    <w:rPr>
      <w:rFonts w:ascii="Tahoma" w:hAnsi="Tahoma"/>
      <w:sz w:val="24"/>
      <w:szCs w:val="20"/>
    </w:rPr>
  </w:style>
  <w:style w:type="paragraph" w:customStyle="1" w:styleId="91">
    <w:name w:val="head"/>
    <w:basedOn w:val="1"/>
    <w:qFormat/>
    <w:uiPriority w:val="0"/>
    <w:pPr>
      <w:widowControl/>
      <w:spacing w:before="100" w:beforeAutospacing="1" w:after="100" w:afterAutospacing="1"/>
      <w:jc w:val="center"/>
    </w:pPr>
    <w:rPr>
      <w:rFonts w:hint="eastAsia" w:ascii="黑体" w:hAnsi="宋体" w:eastAsia="黑体"/>
      <w:b/>
      <w:bCs/>
      <w:kern w:val="0"/>
      <w:sz w:val="28"/>
      <w:szCs w:val="28"/>
    </w:rPr>
  </w:style>
  <w:style w:type="paragraph" w:customStyle="1" w:styleId="92">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93">
    <w:name w:val="批注框文本[858D7CFB-ED40-4347-BF05-701D383B685F][858D7CFB-ED40-4347-BF05-701D383B685F]"/>
    <w:basedOn w:val="1"/>
    <w:qFormat/>
    <w:uiPriority w:val="0"/>
    <w:rPr>
      <w:sz w:val="18"/>
      <w:szCs w:val="18"/>
    </w:rPr>
  </w:style>
  <w:style w:type="paragraph" w:customStyle="1" w:styleId="94">
    <w:name w:val="样式 标题 4 + 段前: 5 磅 段后: 5 磅 行距: 单倍行距"/>
    <w:basedOn w:val="6"/>
    <w:qFormat/>
    <w:uiPriority w:val="0"/>
    <w:pPr>
      <w:numPr>
        <w:ilvl w:val="3"/>
        <w:numId w:val="1"/>
      </w:numPr>
      <w:adjustRightInd w:val="0"/>
      <w:spacing w:before="100" w:after="100" w:line="240" w:lineRule="auto"/>
      <w:jc w:val="left"/>
      <w:textAlignment w:val="baseline"/>
    </w:pPr>
    <w:rPr>
      <w:bCs w:val="0"/>
      <w:kern w:val="0"/>
      <w:szCs w:val="20"/>
    </w:rPr>
  </w:style>
  <w:style w:type="paragraph" w:customStyle="1" w:styleId="95">
    <w:name w:val="四级无标题条"/>
    <w:basedOn w:val="1"/>
    <w:qFormat/>
    <w:uiPriority w:val="0"/>
    <w:rPr>
      <w:szCs w:val="21"/>
    </w:rPr>
  </w:style>
  <w:style w:type="paragraph" w:customStyle="1" w:styleId="96">
    <w:name w:val="4"/>
    <w:basedOn w:val="1"/>
    <w:next w:val="28"/>
    <w:qFormat/>
    <w:uiPriority w:val="0"/>
    <w:rPr>
      <w:rFonts w:ascii="宋体" w:hAnsi="Courier New"/>
      <w:szCs w:val="20"/>
    </w:rPr>
  </w:style>
  <w:style w:type="paragraph" w:customStyle="1" w:styleId="97">
    <w:name w:val="设计方案"/>
    <w:basedOn w:val="1"/>
    <w:qFormat/>
    <w:uiPriority w:val="0"/>
    <w:pPr>
      <w:widowControl/>
      <w:spacing w:after="160" w:line="240" w:lineRule="exact"/>
      <w:jc w:val="left"/>
    </w:pPr>
    <w:rPr>
      <w:sz w:val="24"/>
      <w:szCs w:val="20"/>
    </w:rPr>
  </w:style>
  <w:style w:type="paragraph" w:customStyle="1" w:styleId="98">
    <w:name w:val="一级无标题条"/>
    <w:basedOn w:val="1"/>
    <w:qFormat/>
    <w:uiPriority w:val="0"/>
    <w:rPr>
      <w:szCs w:val="21"/>
    </w:rPr>
  </w:style>
  <w:style w:type="paragraph" w:customStyle="1" w:styleId="99">
    <w:name w:val="Char1 Char Char Char"/>
    <w:basedOn w:val="1"/>
    <w:qFormat/>
    <w:uiPriority w:val="0"/>
    <w:pPr>
      <w:tabs>
        <w:tab w:val="left" w:pos="990"/>
      </w:tabs>
      <w:ind w:left="990" w:hanging="420"/>
    </w:pPr>
    <w:rPr>
      <w:szCs w:val="20"/>
    </w:rPr>
  </w:style>
  <w:style w:type="paragraph" w:customStyle="1" w:styleId="100">
    <w:name w:val="基准标题"/>
    <w:basedOn w:val="20"/>
    <w:next w:val="20"/>
    <w:qFormat/>
    <w:uiPriority w:val="0"/>
    <w:pPr>
      <w:keepNext/>
      <w:keepLines/>
      <w:widowControl/>
      <w:spacing w:after="0" w:line="240" w:lineRule="atLeast"/>
      <w:jc w:val="left"/>
    </w:pPr>
    <w:rPr>
      <w:rFonts w:ascii="Garamond" w:hAnsi="Garamond"/>
      <w:kern w:val="20"/>
      <w:sz w:val="22"/>
      <w:szCs w:val="20"/>
      <w:lang w:bidi="he-IL"/>
    </w:rPr>
  </w:style>
  <w:style w:type="paragraph" w:customStyle="1" w:styleId="101">
    <w:name w:val="Char Char Char1 Char"/>
    <w:basedOn w:val="16"/>
    <w:qFormat/>
    <w:uiPriority w:val="0"/>
    <w:rPr>
      <w:rFonts w:ascii="Tahoma" w:hAnsi="Tahoma"/>
      <w:sz w:val="24"/>
    </w:rPr>
  </w:style>
  <w:style w:type="paragraph" w:customStyle="1" w:styleId="102">
    <w:name w:val="正文标题"/>
    <w:basedOn w:val="1"/>
    <w:qFormat/>
    <w:uiPriority w:val="0"/>
    <w:pPr>
      <w:spacing w:beforeLines="50" w:afterLines="50" w:line="360" w:lineRule="auto"/>
      <w:ind w:left="105" w:leftChars="50" w:right="105" w:rightChars="50"/>
      <w:jc w:val="center"/>
    </w:pPr>
    <w:rPr>
      <w:b/>
      <w:snapToGrid w:val="0"/>
      <w:spacing w:val="40"/>
      <w:kern w:val="0"/>
      <w:sz w:val="30"/>
      <w:szCs w:val="32"/>
    </w:rPr>
  </w:style>
  <w:style w:type="paragraph" w:customStyle="1" w:styleId="103">
    <w:name w:val="Char Char2 Char"/>
    <w:basedOn w:val="1"/>
    <w:qFormat/>
    <w:uiPriority w:val="0"/>
    <w:rPr>
      <w:rFonts w:ascii="宋体" w:hAnsi="宋体"/>
      <w:b/>
      <w:sz w:val="28"/>
      <w:szCs w:val="28"/>
    </w:rPr>
  </w:style>
  <w:style w:type="paragraph" w:customStyle="1" w:styleId="104">
    <w:name w:val="样式3"/>
    <w:basedOn w:val="5"/>
    <w:qFormat/>
    <w:uiPriority w:val="0"/>
    <w:pPr>
      <w:tabs>
        <w:tab w:val="left" w:pos="1418"/>
      </w:tabs>
      <w:ind w:left="1418" w:hanging="567"/>
    </w:pPr>
  </w:style>
  <w:style w:type="paragraph" w:customStyle="1" w:styleId="105">
    <w:name w:val="默认段落字体 Para Char Char Char Char"/>
    <w:basedOn w:val="1"/>
    <w:qFormat/>
    <w:uiPriority w:val="0"/>
    <w:rPr>
      <w:szCs w:val="20"/>
    </w:rPr>
  </w:style>
  <w:style w:type="paragraph" w:customStyle="1" w:styleId="106">
    <w:name w:val="样式2"/>
    <w:basedOn w:val="1"/>
    <w:qFormat/>
    <w:uiPriority w:val="0"/>
    <w:pPr>
      <w:adjustRightInd w:val="0"/>
      <w:snapToGrid w:val="0"/>
      <w:spacing w:line="300" w:lineRule="auto"/>
      <w:ind w:left="924" w:leftChars="200" w:hanging="504" w:hangingChars="200"/>
      <w:textAlignment w:val="baseline"/>
    </w:pPr>
    <w:rPr>
      <w:snapToGrid w:val="0"/>
      <w:spacing w:val="4"/>
      <w:kern w:val="0"/>
    </w:rPr>
  </w:style>
  <w:style w:type="paragraph" w:customStyle="1" w:styleId="107">
    <w:name w:val="Char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08">
    <w:name w:val="3 Char"/>
    <w:basedOn w:val="1"/>
    <w:qFormat/>
    <w:uiPriority w:val="0"/>
    <w:pPr>
      <w:widowControl/>
      <w:spacing w:line="400" w:lineRule="exact"/>
      <w:jc w:val="center"/>
    </w:pPr>
    <w:rPr>
      <w:rFonts w:ascii="Verdana" w:hAnsi="Verdana"/>
      <w:kern w:val="0"/>
      <w:szCs w:val="20"/>
      <w:lang w:eastAsia="en-US"/>
    </w:rPr>
  </w:style>
  <w:style w:type="paragraph" w:customStyle="1" w:styleId="109">
    <w:name w:val="样式 标题 3h3H3sect1.2.3 + 五号 段前: 6 磅 段后: 6 磅 行距: 单倍行距"/>
    <w:basedOn w:val="5"/>
    <w:qFormat/>
    <w:uiPriority w:val="0"/>
    <w:pPr>
      <w:tabs>
        <w:tab w:val="left" w:pos="1260"/>
      </w:tabs>
      <w:adjustRightInd w:val="0"/>
      <w:spacing w:before="120" w:after="120" w:line="240" w:lineRule="auto"/>
      <w:ind w:left="1260" w:hanging="420"/>
      <w:jc w:val="left"/>
      <w:textAlignment w:val="baseline"/>
    </w:pPr>
    <w:rPr>
      <w:bCs w:val="0"/>
      <w:kern w:val="0"/>
      <w:sz w:val="21"/>
      <w:szCs w:val="20"/>
    </w:rPr>
  </w:style>
  <w:style w:type="paragraph" w:customStyle="1" w:styleId="110">
    <w:name w:val="表格"/>
    <w:basedOn w:val="1"/>
    <w:qFormat/>
    <w:uiPriority w:val="0"/>
    <w:pPr>
      <w:spacing w:line="420" w:lineRule="exact"/>
      <w:ind w:left="84" w:leftChars="40"/>
      <w:jc w:val="center"/>
    </w:pPr>
    <w:rPr>
      <w:rFonts w:ascii="宋体" w:hAnsi="宋体"/>
      <w:bCs/>
      <w:spacing w:val="-12"/>
    </w:rPr>
  </w:style>
  <w:style w:type="paragraph" w:customStyle="1" w:styleId="111">
    <w:name w:val="元正正文标题2"/>
    <w:basedOn w:val="6"/>
    <w:qFormat/>
    <w:uiPriority w:val="0"/>
    <w:pPr>
      <w:keepNext w:val="0"/>
      <w:keepLines w:val="0"/>
      <w:adjustRightInd w:val="0"/>
      <w:snapToGrid w:val="0"/>
      <w:spacing w:before="0" w:after="0" w:line="300" w:lineRule="auto"/>
      <w:jc w:val="center"/>
      <w:outlineLvl w:val="9"/>
    </w:pPr>
    <w:rPr>
      <w:rFonts w:ascii="宋体" w:hAnsi="宋体" w:eastAsia="宋体"/>
      <w:bCs w:val="0"/>
    </w:rPr>
  </w:style>
  <w:style w:type="paragraph" w:customStyle="1" w:styleId="112">
    <w:name w:val="Char Char Char Char1"/>
    <w:basedOn w:val="1"/>
    <w:qFormat/>
    <w:uiPriority w:val="0"/>
    <w:pPr>
      <w:numPr>
        <w:ilvl w:val="0"/>
        <w:numId w:val="1"/>
      </w:numPr>
    </w:pPr>
    <w:rPr>
      <w:sz w:val="24"/>
    </w:rPr>
  </w:style>
  <w:style w:type="paragraph" w:customStyle="1" w:styleId="113">
    <w:name w:val="xl25"/>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114">
    <w:name w:val="Char"/>
    <w:basedOn w:val="1"/>
    <w:qFormat/>
    <w:uiPriority w:val="0"/>
    <w:pPr>
      <w:widowControl/>
      <w:spacing w:after="160" w:line="240" w:lineRule="exact"/>
      <w:jc w:val="left"/>
    </w:pPr>
  </w:style>
  <w:style w:type="paragraph" w:customStyle="1" w:styleId="115">
    <w:name w:val="封面2"/>
    <w:basedOn w:val="1"/>
    <w:qFormat/>
    <w:uiPriority w:val="0"/>
    <w:pPr>
      <w:spacing w:line="360" w:lineRule="auto"/>
      <w:jc w:val="center"/>
    </w:pPr>
    <w:rPr>
      <w:rFonts w:ascii="黑体" w:hAnsi="宋体" w:eastAsia="黑体"/>
      <w:b/>
      <w:spacing w:val="-30"/>
      <w:sz w:val="96"/>
    </w:rPr>
  </w:style>
  <w:style w:type="paragraph" w:customStyle="1" w:styleId="116">
    <w:name w:val="Char1 Char Char Char Char Char Char Char Char Char"/>
    <w:basedOn w:val="1"/>
    <w:qFormat/>
    <w:uiPriority w:val="0"/>
    <w:pPr>
      <w:widowControl/>
      <w:spacing w:line="400" w:lineRule="exact"/>
      <w:jc w:val="center"/>
    </w:pPr>
    <w:rPr>
      <w:rFonts w:ascii="Verdana" w:hAnsi="Verdana" w:cs="Verdana"/>
      <w:kern w:val="0"/>
      <w:szCs w:val="21"/>
      <w:lang w:eastAsia="en-US"/>
    </w:rPr>
  </w:style>
  <w:style w:type="paragraph" w:customStyle="1" w:styleId="117">
    <w:name w:val="Char Char Char"/>
    <w:basedOn w:val="1"/>
    <w:qFormat/>
    <w:uiPriority w:val="0"/>
    <w:rPr>
      <w:rFonts w:ascii="Tahoma" w:hAnsi="Tahoma"/>
      <w:sz w:val="24"/>
      <w:szCs w:val="20"/>
    </w:rPr>
  </w:style>
  <w:style w:type="paragraph" w:customStyle="1" w:styleId="118">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119">
    <w:name w:val="标准正文1"/>
    <w:basedOn w:val="1"/>
    <w:qFormat/>
    <w:uiPriority w:val="0"/>
    <w:pPr>
      <w:spacing w:line="360" w:lineRule="auto"/>
      <w:ind w:firstLine="200" w:firstLineChars="200"/>
    </w:pPr>
    <w:rPr>
      <w:rFonts w:ascii="宋体" w:hAnsi="宋体"/>
      <w:snapToGrid w:val="0"/>
      <w:kern w:val="0"/>
      <w:sz w:val="24"/>
    </w:rPr>
  </w:style>
  <w:style w:type="paragraph" w:customStyle="1" w:styleId="120">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121">
    <w:name w:val="封面1"/>
    <w:basedOn w:val="1"/>
    <w:qFormat/>
    <w:uiPriority w:val="0"/>
    <w:pPr>
      <w:spacing w:line="360" w:lineRule="auto"/>
      <w:jc w:val="distribute"/>
    </w:pPr>
    <w:rPr>
      <w:rFonts w:ascii="黑体" w:eastAsia="黑体"/>
      <w:b/>
      <w:sz w:val="58"/>
    </w:rPr>
  </w:style>
  <w:style w:type="paragraph" w:customStyle="1" w:styleId="122">
    <w:name w:val="大标题"/>
    <w:basedOn w:val="2"/>
    <w:qFormat/>
    <w:uiPriority w:val="0"/>
    <w:rPr>
      <w:rFonts w:ascii="宋体"/>
      <w:snapToGrid w:val="0"/>
      <w:kern w:val="0"/>
      <w:sz w:val="52"/>
      <w:szCs w:val="72"/>
    </w:rPr>
  </w:style>
  <w:style w:type="paragraph" w:customStyle="1" w:styleId="123">
    <w:name w:val="文档正文"/>
    <w:basedOn w:val="1"/>
    <w:qFormat/>
    <w:uiPriority w:val="0"/>
    <w:pPr>
      <w:adjustRightInd w:val="0"/>
      <w:spacing w:line="312" w:lineRule="atLeast"/>
      <w:ind w:firstLine="567"/>
      <w:textAlignment w:val="baseline"/>
    </w:pPr>
    <w:rPr>
      <w:rFonts w:ascii="长城仿宋" w:eastAsia="长城仿宋"/>
      <w:kern w:val="0"/>
      <w:sz w:val="28"/>
      <w:szCs w:val="20"/>
    </w:rPr>
  </w:style>
  <w:style w:type="paragraph" w:customStyle="1" w:styleId="124">
    <w:name w:val="五级无标题条"/>
    <w:basedOn w:val="1"/>
    <w:qFormat/>
    <w:uiPriority w:val="0"/>
    <w:rPr>
      <w:szCs w:val="21"/>
    </w:rPr>
  </w:style>
  <w:style w:type="paragraph" w:customStyle="1" w:styleId="125">
    <w:name w:val="Char2 Char Char Char Char Char Char"/>
    <w:basedOn w:val="1"/>
    <w:qFormat/>
    <w:uiPriority w:val="0"/>
    <w:pPr>
      <w:widowControl/>
      <w:spacing w:line="400" w:lineRule="exact"/>
      <w:jc w:val="center"/>
    </w:pPr>
  </w:style>
  <w:style w:type="paragraph" w:customStyle="1" w:styleId="126">
    <w:name w:val="标题1"/>
    <w:qFormat/>
    <w:uiPriority w:val="0"/>
    <w:pPr>
      <w:spacing w:line="360" w:lineRule="auto"/>
    </w:pPr>
    <w:rPr>
      <w:rFonts w:ascii="宋体" w:hAnsi="宋体" w:eastAsia="宋体" w:cs="Times New Roman"/>
      <w:b/>
      <w:bCs/>
      <w:sz w:val="30"/>
      <w:lang w:val="en-US" w:eastAsia="zh-CN" w:bidi="ar-SA"/>
    </w:rPr>
  </w:style>
  <w:style w:type="paragraph" w:customStyle="1" w:styleId="127">
    <w:name w:val="样式 标题 2 + 宋体 五号 非加粗 黑色"/>
    <w:basedOn w:val="3"/>
    <w:qFormat/>
    <w:uiPriority w:val="0"/>
    <w:pPr>
      <w:numPr>
        <w:ilvl w:val="1"/>
        <w:numId w:val="1"/>
      </w:numPr>
      <w:adjustRightInd w:val="0"/>
      <w:spacing w:line="416" w:lineRule="atLeast"/>
      <w:jc w:val="left"/>
      <w:textAlignment w:val="baseline"/>
    </w:pPr>
    <w:rPr>
      <w:rFonts w:hAnsi="宋体" w:cs="Times New Roman"/>
      <w:b w:val="0"/>
      <w:bCs w:val="0"/>
      <w:kern w:val="0"/>
      <w:sz w:val="21"/>
      <w:szCs w:val="20"/>
    </w:rPr>
  </w:style>
  <w:style w:type="paragraph" w:customStyle="1" w:styleId="128">
    <w:name w:val="xl29"/>
    <w:basedOn w:val="1"/>
    <w:qFormat/>
    <w:uiPriority w:val="0"/>
    <w:pPr>
      <w:widowControl/>
      <w:spacing w:before="100" w:beforeAutospacing="1" w:after="100" w:afterAutospacing="1"/>
      <w:jc w:val="center"/>
    </w:pPr>
    <w:rPr>
      <w:rFonts w:ascii="宋体" w:hAnsi="宋体"/>
      <w:kern w:val="0"/>
      <w:sz w:val="28"/>
      <w:szCs w:val="28"/>
    </w:rPr>
  </w:style>
  <w:style w:type="paragraph" w:customStyle="1" w:styleId="129">
    <w:name w:val="封面3"/>
    <w:basedOn w:val="1"/>
    <w:qFormat/>
    <w:uiPriority w:val="0"/>
    <w:pPr>
      <w:tabs>
        <w:tab w:val="left" w:pos="2160"/>
      </w:tabs>
      <w:spacing w:line="360" w:lineRule="auto"/>
      <w:ind w:firstLine="542" w:firstLineChars="180"/>
    </w:pPr>
    <w:rPr>
      <w:rFonts w:ascii="黑体" w:hAnsi="宋体" w:eastAsia="黑体"/>
      <w:b/>
      <w:snapToGrid w:val="0"/>
      <w:kern w:val="0"/>
      <w:sz w:val="30"/>
      <w:szCs w:val="30"/>
    </w:rPr>
  </w:style>
  <w:style w:type="paragraph" w:customStyle="1" w:styleId="130">
    <w:name w:val="Char Char Char Char Char Char Char"/>
    <w:basedOn w:val="1"/>
    <w:qFormat/>
    <w:uiPriority w:val="0"/>
    <w:pPr>
      <w:widowControl/>
      <w:adjustRightInd w:val="0"/>
      <w:spacing w:after="160" w:line="240" w:lineRule="exact"/>
      <w:jc w:val="left"/>
      <w:textAlignment w:val="baseline"/>
    </w:pPr>
  </w:style>
  <w:style w:type="character" w:customStyle="1" w:styleId="131">
    <w:name w:val="s10pv000000"/>
    <w:qFormat/>
    <w:uiPriority w:val="0"/>
    <w:rPr>
      <w:rFonts w:eastAsia="宋体"/>
      <w:kern w:val="2"/>
      <w:sz w:val="24"/>
      <w:szCs w:val="24"/>
      <w:lang w:val="en-US" w:eastAsia="zh-CN" w:bidi="ar-SA"/>
    </w:rPr>
  </w:style>
  <w:style w:type="character" w:customStyle="1" w:styleId="132">
    <w:name w:val="纯文本 Char Char"/>
    <w:qFormat/>
    <w:uiPriority w:val="0"/>
    <w:rPr>
      <w:rFonts w:ascii="宋体" w:hAnsi="Courier New" w:eastAsia="宋体"/>
      <w:kern w:val="2"/>
      <w:sz w:val="21"/>
      <w:lang w:val="en-US" w:eastAsia="zh-CN" w:bidi="ar-SA"/>
    </w:rPr>
  </w:style>
  <w:style w:type="character" w:customStyle="1" w:styleId="133">
    <w:name w:val="p141"/>
    <w:qFormat/>
    <w:uiPriority w:val="0"/>
    <w:rPr>
      <w:sz w:val="21"/>
      <w:szCs w:val="21"/>
    </w:rPr>
  </w:style>
  <w:style w:type="character" w:customStyle="1" w:styleId="134">
    <w:name w:val="正文1"/>
    <w:qFormat/>
    <w:uiPriority w:val="0"/>
    <w:rPr>
      <w:rFonts w:hint="eastAsia" w:ascii="宋体" w:hAnsi="宋体" w:eastAsia="宋体"/>
      <w:kern w:val="2"/>
      <w:sz w:val="24"/>
      <w:szCs w:val="24"/>
      <w:lang w:val="en-US" w:eastAsia="zh-CN" w:bidi="ar-SA"/>
    </w:rPr>
  </w:style>
  <w:style w:type="character" w:customStyle="1" w:styleId="135">
    <w:name w:val="f141"/>
    <w:qFormat/>
    <w:uiPriority w:val="0"/>
    <w:rPr>
      <w:rFonts w:eastAsia="宋体"/>
      <w:kern w:val="2"/>
      <w:sz w:val="21"/>
      <w:szCs w:val="21"/>
      <w:lang w:val="en-US" w:eastAsia="zh-CN" w:bidi="ar-SA"/>
    </w:rPr>
  </w:style>
  <w:style w:type="character" w:customStyle="1" w:styleId="136">
    <w:name w:val="样式1"/>
    <w:qFormat/>
    <w:uiPriority w:val="0"/>
    <w:rPr>
      <w:spacing w:val="4"/>
      <w:kern w:val="0"/>
      <w:sz w:val="28"/>
    </w:rPr>
  </w:style>
  <w:style w:type="character" w:customStyle="1" w:styleId="137">
    <w:name w:val="A4"/>
    <w:qFormat/>
    <w:uiPriority w:val="0"/>
    <w:rPr>
      <w:rFonts w:hint="eastAsia" w:ascii="新宋体" w:hAnsi="新宋体" w:eastAsia="新宋体" w:cs="新宋体"/>
      <w:color w:val="000000"/>
    </w:rPr>
  </w:style>
  <w:style w:type="character" w:customStyle="1" w:styleId="138">
    <w:name w:val="表正文 Char1"/>
    <w:qFormat/>
    <w:uiPriority w:val="0"/>
    <w:rPr>
      <w:rFonts w:eastAsia="宋体"/>
      <w:kern w:val="2"/>
      <w:sz w:val="21"/>
      <w:szCs w:val="24"/>
      <w:lang w:val="en-US" w:eastAsia="zh-CN" w:bidi="ar-SA"/>
    </w:rPr>
  </w:style>
  <w:style w:type="character" w:customStyle="1" w:styleId="139">
    <w:name w:val="标题5"/>
    <w:qFormat/>
    <w:uiPriority w:val="0"/>
    <w:rPr>
      <w:rFonts w:eastAsia="宋体"/>
      <w:kern w:val="2"/>
      <w:sz w:val="24"/>
      <w:szCs w:val="24"/>
      <w:lang w:val="en-US" w:eastAsia="zh-CN" w:bidi="ar-SA"/>
    </w:rPr>
  </w:style>
  <w:style w:type="character" w:customStyle="1" w:styleId="140">
    <w:name w:val="标题 1 Char"/>
    <w:link w:val="2"/>
    <w:qFormat/>
    <w:uiPriority w:val="0"/>
    <w:rPr>
      <w:rFonts w:ascii="Arial" w:hAnsi="Arial" w:cs="Arial"/>
      <w:b/>
      <w:bCs/>
      <w:kern w:val="2"/>
      <w:sz w:val="24"/>
      <w:szCs w:val="18"/>
    </w:rPr>
  </w:style>
  <w:style w:type="character" w:customStyle="1" w:styleId="141">
    <w:name w:val="批注文字 Char"/>
    <w:link w:val="17"/>
    <w:qFormat/>
    <w:uiPriority w:val="99"/>
    <w:rPr>
      <w:kern w:val="2"/>
      <w:sz w:val="21"/>
      <w:szCs w:val="24"/>
    </w:rPr>
  </w:style>
  <w:style w:type="character" w:customStyle="1" w:styleId="142">
    <w:name w:val="正文缩进 Char Char"/>
    <w:qFormat/>
    <w:uiPriority w:val="0"/>
    <w:rPr>
      <w:rFonts w:eastAsia="宋体"/>
      <w:kern w:val="2"/>
      <w:sz w:val="21"/>
      <w:szCs w:val="24"/>
      <w:lang w:val="en-US" w:eastAsia="zh-CN" w:bidi="ar-SA"/>
    </w:rPr>
  </w:style>
  <w:style w:type="character" w:customStyle="1" w:styleId="143">
    <w:name w:val="Char Char1"/>
    <w:qFormat/>
    <w:uiPriority w:val="0"/>
    <w:rPr>
      <w:rFonts w:ascii="宋体" w:hAnsi="宋体" w:eastAsia="宋体"/>
      <w:kern w:val="2"/>
      <w:sz w:val="18"/>
      <w:szCs w:val="18"/>
      <w:lang w:val="en-US" w:eastAsia="zh-CN" w:bidi="ar-SA"/>
    </w:rPr>
  </w:style>
  <w:style w:type="character" w:customStyle="1" w:styleId="144">
    <w:name w:val="普通文字 Char Char"/>
    <w:qFormat/>
    <w:uiPriority w:val="0"/>
    <w:rPr>
      <w:rFonts w:ascii="宋体" w:hAnsi="Courier New" w:eastAsia="宋体" w:cs="Courier New"/>
      <w:sz w:val="21"/>
      <w:szCs w:val="21"/>
      <w:lang w:val="en-US" w:eastAsia="zh-CN" w:bidi="ar-SA"/>
    </w:rPr>
  </w:style>
  <w:style w:type="character" w:customStyle="1" w:styleId="145">
    <w:name w:val="页脚 Char"/>
    <w:link w:val="34"/>
    <w:qFormat/>
    <w:uiPriority w:val="99"/>
    <w:rPr>
      <w:kern w:val="2"/>
      <w:sz w:val="18"/>
      <w:szCs w:val="18"/>
    </w:rPr>
  </w:style>
  <w:style w:type="character" w:customStyle="1" w:styleId="146">
    <w:name w:val="页眉 Char"/>
    <w:link w:val="35"/>
    <w:qFormat/>
    <w:uiPriority w:val="0"/>
    <w:rPr>
      <w:rFonts w:eastAsia="宋体"/>
      <w:kern w:val="2"/>
      <w:sz w:val="18"/>
      <w:szCs w:val="18"/>
      <w:lang w:val="en-US" w:eastAsia="zh-CN" w:bidi="ar-SA"/>
    </w:rPr>
  </w:style>
  <w:style w:type="character" w:customStyle="1" w:styleId="147">
    <w:name w:val="标题 2 Char"/>
    <w:qFormat/>
    <w:uiPriority w:val="0"/>
    <w:rPr>
      <w:rFonts w:ascii="宋体" w:hAnsi="Arial" w:eastAsia="宋体" w:cs="Arial"/>
      <w:b/>
      <w:bCs/>
      <w:color w:val="000000"/>
      <w:kern w:val="2"/>
      <w:sz w:val="28"/>
      <w:szCs w:val="28"/>
      <w:lang w:val="en-US" w:eastAsia="zh-CN" w:bidi="ar-SA"/>
    </w:rPr>
  </w:style>
  <w:style w:type="character" w:customStyle="1" w:styleId="148">
    <w:name w:val="纯文本 Char"/>
    <w:link w:val="28"/>
    <w:qFormat/>
    <w:uiPriority w:val="0"/>
    <w:rPr>
      <w:rFonts w:ascii="宋体" w:hAnsi="Courier New" w:eastAsia="宋体"/>
      <w:kern w:val="2"/>
      <w:sz w:val="21"/>
      <w:szCs w:val="24"/>
      <w:lang w:val="en-US" w:eastAsia="zh-CN" w:bidi="ar-SA"/>
    </w:rPr>
  </w:style>
  <w:style w:type="character" w:customStyle="1" w:styleId="149">
    <w:name w:val="15"/>
    <w:basedOn w:val="55"/>
    <w:qFormat/>
    <w:uiPriority w:val="0"/>
    <w:rPr>
      <w:rFonts w:hint="default" w:ascii="Calibri" w:hAnsi="Calibri" w:cs="Calibri"/>
    </w:rPr>
  </w:style>
  <w:style w:type="character" w:customStyle="1" w:styleId="150">
    <w:name w:val="10"/>
    <w:basedOn w:val="55"/>
    <w:qFormat/>
    <w:uiPriority w:val="0"/>
    <w:rPr>
      <w:rFonts w:hint="default" w:ascii="Calibri" w:hAnsi="Calibri" w:cs="Calibri"/>
    </w:rPr>
  </w:style>
  <w:style w:type="character" w:customStyle="1" w:styleId="151">
    <w:name w:val="16"/>
    <w:basedOn w:val="55"/>
    <w:qFormat/>
    <w:uiPriority w:val="0"/>
    <w:rPr>
      <w:rFonts w:hint="default" w:ascii="Calibri" w:hAnsi="Calibri"/>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user</Company>
  <Pages>37</Pages>
  <Words>19874</Words>
  <Characters>20574</Characters>
  <Lines>135</Lines>
  <Paragraphs>38</Paragraphs>
  <TotalTime>64</TotalTime>
  <ScaleCrop>false</ScaleCrop>
  <LinksUpToDate>false</LinksUpToDate>
  <CharactersWithSpaces>21014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2019-08-11T00:12:00Z</dcterms:created>
  <dc:creator>1100</dc:creator>
  <cp:lastModifiedBy>猛兽出击</cp:lastModifiedBy>
  <cp:lastPrinted>2026-03-31T07:30:00Z</cp:lastPrinted>
  <dcterms:modified xsi:type="dcterms:W3CDTF">2026-05-07T06:59:22Z</dcterms:modified>
  <dc:title>_x0001_</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BA80BC8316777ABC37BA9E6923EEC8AF_43</vt:lpwstr>
  </property>
  <property fmtid="{D5CDD505-2E9C-101B-9397-08002B2CF9AE}" pid="4" name="commondata">
    <vt:lpwstr>eyJoZGlkIjoiMmJkYmQwMmM3NjAxNzQxNjAzYWE5MThjYTU3MzFkYjcifQ==</vt:lpwstr>
  </property>
  <property fmtid="{D5CDD505-2E9C-101B-9397-08002B2CF9AE}" pid="5" name="KSOTemplateDocerSaveRecord">
    <vt:lpwstr>eyJoZGlkIjoiMWNmMzk4MDZmZDdiYzk1YjEyYzYxYzU3YzRhNWNjYWMiLCJ1c2VySWQiOiIyNTUzODk4OTYifQ==</vt:lpwstr>
  </property>
</Properties>
</file>